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tLeast"/>
        <w:jc w:val="center"/>
        <w:outlineLvl w:val="0"/>
        <w:rPr>
          <w:rFonts w:cs="宋体" w:asciiTheme="minorEastAsia" w:hAnsiTheme="minorEastAsia" w:eastAsiaTheme="minorEastAsia"/>
          <w:b/>
          <w:color w:val="auto"/>
          <w:sz w:val="24"/>
          <w:highlight w:val="none"/>
        </w:rPr>
      </w:pPr>
      <w:bookmarkStart w:id="0" w:name="_Toc26405"/>
      <w:r>
        <w:rPr>
          <w:rFonts w:hint="eastAsia" w:cs="宋体" w:asciiTheme="minorEastAsia" w:hAnsiTheme="minorEastAsia" w:eastAsiaTheme="minorEastAsia"/>
          <w:b/>
          <w:bCs/>
          <w:color w:val="auto"/>
          <w:kern w:val="0"/>
          <w:sz w:val="28"/>
          <w:szCs w:val="28"/>
          <w:highlight w:val="none"/>
        </w:rPr>
        <w:t xml:space="preserve"> 招标公告</w:t>
      </w:r>
      <w:bookmarkEnd w:id="0"/>
    </w:p>
    <w:p>
      <w:pPr>
        <w:adjustRightInd w:val="0"/>
        <w:snapToGrid w:val="0"/>
        <w:spacing w:line="44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本招标项目为</w:t>
      </w:r>
      <w:r>
        <w:rPr>
          <w:rFonts w:hint="eastAsia" w:asciiTheme="minorEastAsia" w:hAnsiTheme="minorEastAsia" w:eastAsiaTheme="minorEastAsia"/>
          <w:b/>
          <w:bCs/>
          <w:color w:val="auto"/>
          <w:szCs w:val="21"/>
          <w:highlight w:val="none"/>
          <w:u w:val="single"/>
        </w:rPr>
        <w:t xml:space="preserve">  </w:t>
      </w:r>
      <w:r>
        <w:rPr>
          <w:rFonts w:hint="eastAsia" w:cs="宋体" w:asciiTheme="minorEastAsia" w:hAnsiTheme="minorEastAsia" w:eastAsiaTheme="minorEastAsia"/>
          <w:b/>
          <w:bCs/>
          <w:color w:val="auto"/>
          <w:szCs w:val="21"/>
          <w:highlight w:val="none"/>
          <w:u w:val="single"/>
          <w:lang w:eastAsia="zh-CN"/>
        </w:rPr>
        <w:t>“海宁尖山恒发储能电站二期扩建45MW90MWh储能项目”储能系统装置设备　</w:t>
      </w: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b/>
          <w:bCs/>
          <w:color w:val="auto"/>
          <w:szCs w:val="21"/>
          <w:highlight w:val="none"/>
          <w:u w:val="single"/>
          <w:lang w:eastAsia="zh-CN"/>
        </w:rPr>
        <w:t xml:space="preserve"> </w:t>
      </w:r>
      <w:r>
        <w:rPr>
          <w:rFonts w:hint="eastAsia" w:cs="宋体" w:asciiTheme="minorEastAsia" w:hAnsiTheme="minorEastAsia" w:eastAsiaTheme="minorEastAsia"/>
          <w:b/>
          <w:bCs/>
          <w:color w:val="auto"/>
          <w:szCs w:val="21"/>
          <w:highlight w:val="none"/>
          <w:u w:val="single"/>
          <w:lang w:val="en-US" w:eastAsia="zh-CN"/>
        </w:rPr>
        <w:t>ZJHF2023001</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,招标人为</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eastAsia="zh-CN"/>
        </w:rPr>
        <w:t>浙江恒发新能源有限责任公司</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，招标代理机构为</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eastAsia="zh-CN"/>
        </w:rPr>
        <w:t>嘉兴市银建工程咨询评估有限公司</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。项目资金由</w:t>
      </w:r>
      <w:r>
        <w:rPr>
          <w:rFonts w:hint="eastAsia" w:asciiTheme="minorEastAsia" w:hAnsiTheme="minorEastAsia" w:eastAsiaTheme="minorEastAsia"/>
          <w:b/>
          <w:bCs/>
          <w:color w:val="auto"/>
          <w:szCs w:val="21"/>
          <w:highlight w:val="none"/>
          <w:u w:val="single"/>
        </w:rPr>
        <w:t xml:space="preserve"> 招标人自筹 </w:t>
      </w:r>
      <w:r>
        <w:rPr>
          <w:rFonts w:hint="eastAsia" w:asciiTheme="minorEastAsia" w:hAnsiTheme="minorEastAsia" w:eastAsiaTheme="minorEastAsia"/>
          <w:color w:val="auto"/>
          <w:szCs w:val="21"/>
          <w:highlight w:val="none"/>
        </w:rPr>
        <w:t>，资金已落实。项目已具备招标条件，现进行公开招标，有意向的投标人（以下简称投标人）可前来投标。</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招标范围</w:t>
      </w:r>
    </w:p>
    <w:p>
      <w:pPr>
        <w:adjustRightInd w:val="0"/>
        <w:snapToGrid w:val="0"/>
        <w:spacing w:line="440" w:lineRule="exact"/>
        <w:ind w:firstLine="424" w:firstLineChars="202"/>
        <w:rPr>
          <w:rFonts w:hint="eastAsia" w:asciiTheme="minorEastAsia" w:hAnsiTheme="minorEastAsia" w:eastAsiaTheme="minorEastAsia"/>
          <w:color w:val="auto"/>
          <w:kern w:val="0"/>
          <w:szCs w:val="21"/>
          <w:highlight w:val="none"/>
          <w:lang w:eastAsia="zh-CN"/>
        </w:rPr>
      </w:pPr>
      <w:bookmarkStart w:id="1" w:name="_Toc319394714"/>
      <w:bookmarkStart w:id="2" w:name="_Toc319769473"/>
      <w:bookmarkStart w:id="3" w:name="_Toc184704555"/>
      <w:r>
        <w:rPr>
          <w:rFonts w:hint="eastAsia"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 xml:space="preserve">招标内容: </w:t>
      </w:r>
      <w:r>
        <w:rPr>
          <w:rFonts w:hint="eastAsia" w:asciiTheme="minorEastAsia" w:hAnsiTheme="minorEastAsia" w:eastAsiaTheme="minorEastAsia"/>
          <w:color w:val="auto"/>
          <w:szCs w:val="21"/>
          <w:highlight w:val="none"/>
          <w:lang w:eastAsia="zh-CN"/>
        </w:rPr>
        <w:t>“海宁尖山恒发储能电站二期扩建45MW90MWh储能项目”储能系统装置设备，</w:t>
      </w:r>
      <w:r>
        <w:rPr>
          <w:rFonts w:hint="eastAsia" w:asciiTheme="minorEastAsia" w:hAnsiTheme="minorEastAsia" w:eastAsiaTheme="minorEastAsia"/>
          <w:color w:val="auto"/>
          <w:kern w:val="0"/>
          <w:szCs w:val="21"/>
          <w:highlight w:val="none"/>
        </w:rPr>
        <w:t>详见第五章</w:t>
      </w:r>
      <w:r>
        <w:rPr>
          <w:rFonts w:hint="eastAsia" w:asciiTheme="minorEastAsia" w:hAnsiTheme="minorEastAsia" w:eastAsiaTheme="minorEastAsia"/>
          <w:color w:val="auto"/>
          <w:kern w:val="0"/>
          <w:szCs w:val="21"/>
          <w:highlight w:val="none"/>
          <w:lang w:val="en-US" w:eastAsia="zh-CN"/>
        </w:rPr>
        <w:t>技术规范书</w:t>
      </w:r>
      <w:r>
        <w:rPr>
          <w:rFonts w:hint="eastAsia" w:asciiTheme="minorEastAsia" w:hAnsiTheme="minorEastAsia" w:eastAsia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olor w:val="auto"/>
          <w:kern w:val="0"/>
          <w:szCs w:val="21"/>
          <w:highlight w:val="yellow"/>
          <w:lang w:val="en-US" w:eastAsia="zh-CN"/>
        </w:rPr>
      </w:pPr>
      <w:r>
        <w:rPr>
          <w:rFonts w:hint="eastAsia"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szCs w:val="21"/>
          <w:highlight w:val="none"/>
          <w:lang w:val="en-US" w:eastAsia="zh-CN"/>
        </w:rPr>
        <w:t>交付时间</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合同签订后</w:t>
      </w:r>
      <w:r>
        <w:rPr>
          <w:rFonts w:hint="eastAsia" w:asciiTheme="minorEastAsia" w:hAnsiTheme="minorEastAsia" w:eastAsiaTheme="minorEastAsia"/>
          <w:color w:val="auto"/>
          <w:szCs w:val="21"/>
          <w:highlight w:val="none"/>
          <w:lang w:val="en-US" w:eastAsia="zh-CN"/>
        </w:rPr>
        <w:t>一个月内</w:t>
      </w:r>
      <w:r>
        <w:rPr>
          <w:rFonts w:hint="eastAsia" w:asciiTheme="minorEastAsia" w:hAnsiTheme="minorEastAsia" w:eastAsiaTheme="minorEastAsia"/>
          <w:color w:val="auto"/>
          <w:kern w:val="0"/>
          <w:szCs w:val="21"/>
          <w:highlight w:val="none"/>
          <w:lang w:val="en-US" w:eastAsia="zh-CN"/>
        </w:rPr>
        <w:t>。</w:t>
      </w:r>
    </w:p>
    <w:p>
      <w:pPr>
        <w:spacing w:line="360" w:lineRule="auto"/>
        <w:ind w:firstLine="420" w:firstLineChars="200"/>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lang w:val="en-US" w:eastAsia="zh-CN"/>
        </w:rPr>
        <w:t>1.3交付地点：招标人指定地点。</w:t>
      </w:r>
    </w:p>
    <w:p>
      <w:pPr>
        <w:pStyle w:val="3"/>
        <w:ind w:firstLineChars="200"/>
        <w:rPr>
          <w:rFonts w:hint="eastAsia" w:asciiTheme="minorEastAsia" w:hAnsiTheme="minorEastAsia" w:eastAsiaTheme="minorEastAsia"/>
          <w:color w:val="auto"/>
          <w:kern w:val="0"/>
          <w:sz w:val="21"/>
          <w:szCs w:val="21"/>
          <w:highlight w:val="yellow"/>
        </w:rPr>
      </w:pPr>
      <w:r>
        <w:rPr>
          <w:rFonts w:hint="eastAsia" w:asciiTheme="minorEastAsia" w:hAnsiTheme="minorEastAsia" w:eastAsiaTheme="minorEastAsia"/>
          <w:color w:val="auto"/>
          <w:kern w:val="0"/>
          <w:sz w:val="21"/>
          <w:szCs w:val="21"/>
          <w:highlight w:val="none"/>
        </w:rPr>
        <w:t>1.</w:t>
      </w:r>
      <w:r>
        <w:rPr>
          <w:rFonts w:hint="eastAsia" w:asciiTheme="minorEastAsia" w:hAnsiTheme="minorEastAsia" w:eastAsiaTheme="minorEastAsia"/>
          <w:color w:val="auto"/>
          <w:kern w:val="0"/>
          <w:sz w:val="21"/>
          <w:szCs w:val="21"/>
          <w:highlight w:val="none"/>
          <w:lang w:val="en-US" w:eastAsia="zh-CN"/>
        </w:rPr>
        <w:t>4质保期</w:t>
      </w:r>
      <w:r>
        <w:rPr>
          <w:rFonts w:hint="eastAsia" w:asciiTheme="minorEastAsia" w:hAnsiTheme="minorEastAsia" w:eastAsiaTheme="minorEastAsia"/>
          <w:color w:val="auto"/>
          <w:kern w:val="0"/>
          <w:sz w:val="21"/>
          <w:szCs w:val="21"/>
          <w:highlight w:val="none"/>
        </w:rPr>
        <w:t>：</w:t>
      </w:r>
      <w:r>
        <w:rPr>
          <w:rFonts w:hint="eastAsia" w:asciiTheme="minorEastAsia" w:hAnsiTheme="minorEastAsia" w:eastAsiaTheme="minorEastAsia"/>
          <w:color w:val="auto"/>
          <w:kern w:val="0"/>
          <w:sz w:val="21"/>
          <w:szCs w:val="21"/>
          <w:highlight w:val="none"/>
          <w:lang w:val="en-US" w:eastAsia="zh-CN"/>
        </w:rPr>
        <w:t>设备运行保证期10年；储能设备整体质保期5年</w:t>
      </w:r>
      <w:r>
        <w:rPr>
          <w:rFonts w:hint="eastAsia" w:asciiTheme="minorEastAsia" w:hAnsiTheme="minorEastAsia" w:eastAsiaTheme="minorEastAsia"/>
          <w:color w:val="auto"/>
          <w:kern w:val="0"/>
          <w:sz w:val="21"/>
          <w:szCs w:val="21"/>
          <w:highlight w:val="none"/>
        </w:rPr>
        <w:t>。</w:t>
      </w:r>
    </w:p>
    <w:p>
      <w:pPr>
        <w:pStyle w:val="3"/>
        <w:ind w:firstLineChars="2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1.5</w:t>
      </w:r>
      <w:r>
        <w:rPr>
          <w:rFonts w:hint="eastAsia" w:asciiTheme="minorEastAsia" w:hAnsiTheme="minorEastAsia" w:eastAsiaTheme="minorEastAsia"/>
          <w:color w:val="auto"/>
          <w:kern w:val="0"/>
          <w:sz w:val="21"/>
          <w:szCs w:val="21"/>
          <w:highlight w:val="none"/>
        </w:rPr>
        <w:t>本项目不划分标段。</w:t>
      </w:r>
    </w:p>
    <w:p>
      <w:pPr>
        <w:pStyle w:val="3"/>
        <w:ind w:firstLineChars="2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1.6</w:t>
      </w:r>
      <w:r>
        <w:rPr>
          <w:rFonts w:hint="eastAsia" w:asciiTheme="minorEastAsia" w:hAnsiTheme="minorEastAsia" w:eastAsiaTheme="minorEastAsia"/>
          <w:color w:val="auto"/>
          <w:kern w:val="0"/>
          <w:sz w:val="21"/>
          <w:szCs w:val="21"/>
          <w:highlight w:val="none"/>
        </w:rPr>
        <w:t>本项目设置最高投标限价：16982</w:t>
      </w:r>
      <w:r>
        <w:rPr>
          <w:rFonts w:hint="eastAsia" w:asciiTheme="minorEastAsia" w:hAnsiTheme="minorEastAsia" w:eastAsiaTheme="minorEastAsia"/>
          <w:color w:val="auto"/>
          <w:kern w:val="0"/>
          <w:sz w:val="21"/>
          <w:szCs w:val="21"/>
          <w:highlight w:val="none"/>
          <w:lang w:val="en-US" w:eastAsia="zh-CN"/>
        </w:rPr>
        <w:t>.</w:t>
      </w:r>
      <w:r>
        <w:rPr>
          <w:rFonts w:hint="eastAsia" w:asciiTheme="minorEastAsia" w:hAnsiTheme="minorEastAsia" w:eastAsiaTheme="minorEastAsia"/>
          <w:color w:val="auto"/>
          <w:kern w:val="0"/>
          <w:sz w:val="21"/>
          <w:szCs w:val="21"/>
          <w:highlight w:val="none"/>
        </w:rPr>
        <w:t>7</w:t>
      </w:r>
      <w:r>
        <w:rPr>
          <w:rFonts w:hint="eastAsia" w:asciiTheme="minorEastAsia" w:hAnsiTheme="minorEastAsia" w:eastAsiaTheme="minorEastAsia"/>
          <w:color w:val="auto"/>
          <w:kern w:val="0"/>
          <w:sz w:val="21"/>
          <w:szCs w:val="21"/>
          <w:highlight w:val="none"/>
          <w:u w:val="single"/>
          <w:lang w:val="en-US" w:eastAsia="zh-CN"/>
        </w:rPr>
        <w:t>万元</w:t>
      </w:r>
      <w:r>
        <w:rPr>
          <w:rFonts w:hint="eastAsia" w:asciiTheme="minorEastAsia" w:hAnsiTheme="minorEastAsia" w:eastAsiaTheme="minorEastAsia"/>
          <w:color w:val="auto"/>
          <w:kern w:val="0"/>
          <w:sz w:val="21"/>
          <w:szCs w:val="21"/>
          <w:highlight w:val="none"/>
          <w:lang w:val="en-US" w:eastAsia="zh-CN"/>
        </w:rPr>
        <w:t>含税</w:t>
      </w:r>
      <w:r>
        <w:rPr>
          <w:rFonts w:hint="eastAsia" w:asciiTheme="minorEastAsia" w:hAnsiTheme="minorEastAsia" w:eastAsiaTheme="minorEastAsia"/>
          <w:color w:val="auto"/>
          <w:kern w:val="0"/>
          <w:sz w:val="21"/>
          <w:szCs w:val="21"/>
          <w:highlight w:val="none"/>
        </w:rPr>
        <w:t>，投标人投标报价</w:t>
      </w:r>
      <w:r>
        <w:rPr>
          <w:rFonts w:hint="eastAsia" w:asciiTheme="minorEastAsia" w:hAnsiTheme="minorEastAsia" w:eastAsiaTheme="minorEastAsia"/>
          <w:color w:val="auto"/>
          <w:kern w:val="0"/>
          <w:sz w:val="21"/>
          <w:szCs w:val="21"/>
          <w:highlight w:val="none"/>
          <w:lang w:val="en-US" w:eastAsia="zh-CN"/>
        </w:rPr>
        <w:t>高于</w:t>
      </w:r>
      <w:r>
        <w:rPr>
          <w:rFonts w:hint="eastAsia" w:asciiTheme="minorEastAsia" w:hAnsiTheme="minorEastAsia" w:eastAsiaTheme="minorEastAsia"/>
          <w:color w:val="auto"/>
          <w:kern w:val="0"/>
          <w:sz w:val="21"/>
          <w:szCs w:val="21"/>
          <w:highlight w:val="none"/>
        </w:rPr>
        <w:t>最高限价的，将否决其投标资格。</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投标人资格要求</w:t>
      </w:r>
      <w:bookmarkEnd w:id="1"/>
      <w:bookmarkEnd w:id="2"/>
      <w:bookmarkEnd w:id="3"/>
      <w:bookmarkStart w:id="4" w:name="_Toc184704556"/>
      <w:bookmarkStart w:id="5" w:name="_Toc319394715"/>
      <w:bookmarkStart w:id="6" w:name="_Toc319769474"/>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本次招标要求投标人为中华人民共和国境内依法成立的法人或其他组织。</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生产商应具备相应招标货物的制造能力及相应制造资质，并在人员、设备、资金等方面具有保障如期交货等履行招标项目的能力（本条款不适用代理商、经销商）。除特别注明外，这些资格、资质、业绩均系投标人本企业所拥有的权利权益。（适用接受生产商招标的项目）</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代理商应具备相应货物生产商的代理资格,代理资格由授权厂家出具相应的授权材料予以证明，并保证所代理的生产厂家具备上述第一款项规定的相应制造能力。（适用接受代理商招标的项目）</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经销商应具备相应货物的经销能力及商业信誉，具备按时供应货物、保证货物质量等货物销售能力。（适用接受经销商招标的项目）</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3.1 通用资格要求：</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（1）投标人具有营业执照、税务登记证、组织机构代码证或按照“三证合一”登记制度登记执照，相应证照均在有效期内。</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（2）投标人不存在被责令停产停业，暂扣或吊销许可证、暂扣或吊销营业执照；不存在进入清算程序或被宣告破产、或其他丧失履约能力的情形。须提供由法定代表人或授权代表签署并加盖公章的承诺函。</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3）有本次招标产品的生产许可证或国家规定的认证机构颁发的认证证书。所投产品须取得国家级专业检验检测机构出具的产品有效试验报告，且报告结论数据满足本次招标技术规范要求。各类试验报告均系针对具体型式规格产品的试验报告。（如有相关要求需提供）</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（4）法定代表人或单位负责人为同一人或者存在控股、管理关系的不同投标人，不得参加同一标包货物的投标。</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（5）应有良好的商业信用，不得被工商行政管理等市场监管部门列入并公示为"经营异常"名录，且投标人未被国家行政或司法机关列为违法失信名录。否则，该投标人参与本项目的投标将被否决。</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（6）应有良好的财务状况，具体要求详见招标文件第2章投标人须知规定。</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（7）提供的同类材料未因该材料原因出现过质量问题（或出现过质量问题，但已采取了有效的整改措施及善后处理，并通过恒创集团及其下属单位的验收）。</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8）在国内材料销售合同执行过程中，未因严重质量问题而造成批量退货（退货量占合同金额10%及以上）或严重影响施工，或出现过其它重大问题，但已采取了有效的整改措施及善后处理，并通过恒创集团及其下属单位的验收。</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9）在国内材料销售合同执行过程中，未因货物和/或投标人图纸的交付拖延问题而严重影响施工和工程进度，或出现过其它重大问题，但已采取了有效的整改措施及善后处理，并通过恒创集团及其下属单位的验收。</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10）具有生产投标产品所需的生产场地、生产设备、产品及原材料检测设备的能力，所生产的投标产品无任何权利瑕疵，须提供由法定代表人或授权代表签署并加盖公章的承诺函保证产品不存在侵犯第三方知识产权的情形。</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11）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（12）根据《浙江省电力实业总公司省管产业单位供应商不良行为处置实施细则》的规定，投标人未存在导致其被暂停中标资格或取消中标资格的不良行为并尚在处理有效期内的。</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（13）投标人或其法定代表人、拟委任的项目负责人在人民法院生效的判决书中被认定在招标采购活动中存在行贿行为，情节严重的其投标将被否决。</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.2各类货物专门具体资质业绩要求</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）投标人所提供的</w:t>
      </w:r>
      <w:r>
        <w:rPr>
          <w:rFonts w:hint="eastAsia" w:ascii="宋体" w:hAnsi="宋体"/>
          <w:color w:val="auto"/>
          <w:highlight w:val="none"/>
          <w:lang w:val="en-US" w:eastAsia="zh-CN"/>
        </w:rPr>
        <w:t>产品</w:t>
      </w:r>
      <w:r>
        <w:rPr>
          <w:rFonts w:hint="eastAsia" w:ascii="宋体" w:hAnsi="宋体"/>
          <w:color w:val="auto"/>
          <w:highlight w:val="none"/>
          <w:lang w:eastAsia="zh-CN"/>
        </w:rPr>
        <w:t>应具有国家认定相应资质的机构出具的型式试验告、检测报告等证书</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.3本次招标不接受联合体投标。</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.4本次招标接受生产商（制造商）</w:t>
      </w:r>
      <w:r>
        <w:rPr>
          <w:rFonts w:hint="eastAsia" w:ascii="宋体" w:hAnsi="宋体"/>
          <w:color w:val="auto"/>
          <w:highlight w:val="none"/>
          <w:lang w:val="en-US" w:eastAsia="zh-CN"/>
        </w:rPr>
        <w:t>和</w:t>
      </w:r>
      <w:r>
        <w:rPr>
          <w:rFonts w:hint="eastAsia" w:ascii="宋体" w:hAnsi="宋体"/>
          <w:color w:val="auto"/>
          <w:highlight w:val="none"/>
        </w:rPr>
        <w:t>代理商</w:t>
      </w:r>
      <w:r>
        <w:rPr>
          <w:rFonts w:hint="eastAsia" w:ascii="宋体" w:hAnsi="宋体"/>
          <w:color w:val="auto"/>
          <w:highlight w:val="none"/>
          <w:lang w:eastAsia="zh-CN"/>
        </w:rPr>
        <w:t>，</w:t>
      </w:r>
      <w:r>
        <w:rPr>
          <w:rFonts w:hint="eastAsia" w:ascii="宋体" w:hAnsi="宋体"/>
          <w:color w:val="auto"/>
          <w:highlight w:val="none"/>
          <w:lang w:val="en-US" w:eastAsia="zh-CN"/>
        </w:rPr>
        <w:t>不接受</w:t>
      </w:r>
      <w:r>
        <w:rPr>
          <w:rFonts w:hint="eastAsia" w:ascii="宋体" w:hAnsi="宋体"/>
          <w:color w:val="auto"/>
          <w:highlight w:val="none"/>
        </w:rPr>
        <w:t>经销商投标。</w:t>
      </w:r>
    </w:p>
    <w:p>
      <w:pPr>
        <w:keepNext w:val="0"/>
        <w:keepLines w:val="0"/>
        <w:pageBreakBefore w:val="0"/>
        <w:widowControl/>
        <w:kinsoku/>
        <w:wordWrap/>
        <w:overflowPunct/>
        <w:topLinePunct w:val="0"/>
        <w:bidi w:val="0"/>
        <w:spacing w:line="420" w:lineRule="exact"/>
        <w:ind w:firstLine="420" w:firstLineChars="200"/>
        <w:jc w:val="left"/>
        <w:textAlignment w:val="auto"/>
        <w:outlineLvl w:val="9"/>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5投标单位经营范围审查的方法：投标人经营范围的审查以营业执照记载的经营范围为原则；如投标单位最新登记备案章程中确定的经营范围与营业执照记载不一致的，其经营范围以章程中规定的为准（如需提供证明）；投标单位在投标文件中提供了能够证明其具有招标文件所要求的的经营范围时，根据投标单位所提供材料综合判断其是否具有所要求的经营范围；对投标人经营资质资格有明确要求的，以其被准予行政许可、取得相关资质资格的证明材料所记载内容为准。</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资格审查方法</w:t>
      </w:r>
      <w:bookmarkEnd w:id="4"/>
      <w:bookmarkEnd w:id="5"/>
      <w:bookmarkEnd w:id="6"/>
    </w:p>
    <w:p>
      <w:pPr>
        <w:pStyle w:val="9"/>
        <w:adjustRightInd w:val="0"/>
        <w:snapToGrid w:val="0"/>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本项目将进行资格后审，资格审查标准和内容见招标文件第三章“评标办法”，凡未通过资格后审的投标人，其投标文件将被否决。</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bookmarkStart w:id="7" w:name="_Toc319394716"/>
      <w:bookmarkStart w:id="8" w:name="_Toc184704557"/>
      <w:bookmarkStart w:id="9" w:name="_Toc319769475"/>
      <w:r>
        <w:rPr>
          <w:rFonts w:hint="eastAsia" w:asciiTheme="minorEastAsia" w:hAnsiTheme="minorEastAsia" w:eastAsiaTheme="minorEastAsia"/>
          <w:b/>
          <w:color w:val="auto"/>
          <w:szCs w:val="21"/>
          <w:highlight w:val="none"/>
        </w:rPr>
        <w:t>招标文件的获取</w:t>
      </w:r>
      <w:bookmarkEnd w:id="7"/>
      <w:bookmarkEnd w:id="8"/>
      <w:bookmarkEnd w:id="9"/>
    </w:p>
    <w:p>
      <w:pPr>
        <w:pStyle w:val="9"/>
        <w:adjustRightInd w:val="0"/>
        <w:snapToGrid w:val="0"/>
        <w:spacing w:line="500" w:lineRule="exact"/>
        <w:ind w:firstLine="428"/>
        <w:jc w:val="left"/>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获取时间：</w:t>
      </w:r>
      <w:r>
        <w:rPr>
          <w:rFonts w:hint="eastAsia" w:ascii="宋体" w:hAnsi="宋体" w:cs="宋体"/>
          <w:b/>
          <w:bCs/>
          <w:color w:val="auto"/>
          <w:spacing w:val="2"/>
          <w:sz w:val="21"/>
          <w:szCs w:val="21"/>
          <w:highlight w:val="none"/>
          <w:u w:val="single"/>
          <w:lang w:eastAsia="zh-CN"/>
        </w:rPr>
        <w:t>202</w:t>
      </w:r>
      <w:r>
        <w:rPr>
          <w:rFonts w:hint="eastAsia" w:ascii="宋体" w:hAnsi="宋体" w:cs="宋体"/>
          <w:b/>
          <w:bCs/>
          <w:color w:val="auto"/>
          <w:spacing w:val="2"/>
          <w:sz w:val="21"/>
          <w:szCs w:val="21"/>
          <w:highlight w:val="none"/>
          <w:u w:val="single"/>
          <w:lang w:val="en-US" w:eastAsia="zh-CN"/>
        </w:rPr>
        <w:t>3</w:t>
      </w:r>
      <w:r>
        <w:rPr>
          <w:rFonts w:hint="eastAsia" w:ascii="宋体" w:hAnsi="宋体" w:cs="宋体"/>
          <w:b/>
          <w:bCs/>
          <w:color w:val="auto"/>
          <w:spacing w:val="2"/>
          <w:sz w:val="21"/>
          <w:szCs w:val="21"/>
          <w:highlight w:val="none"/>
        </w:rPr>
        <w:t>年</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 xml:space="preserve">7 </w:t>
      </w:r>
      <w:r>
        <w:rPr>
          <w:rFonts w:hint="eastAsia" w:ascii="宋体" w:hAnsi="宋体" w:cs="宋体"/>
          <w:b/>
          <w:bCs/>
          <w:color w:val="auto"/>
          <w:spacing w:val="2"/>
          <w:sz w:val="21"/>
          <w:szCs w:val="21"/>
          <w:highlight w:val="none"/>
        </w:rPr>
        <w:t>月</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7</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rPr>
        <w:t xml:space="preserve">日至 </w:t>
      </w:r>
      <w:r>
        <w:rPr>
          <w:rFonts w:hint="eastAsia" w:ascii="宋体" w:hAnsi="宋体" w:cs="宋体"/>
          <w:b/>
          <w:bCs/>
          <w:color w:val="auto"/>
          <w:spacing w:val="2"/>
          <w:sz w:val="21"/>
          <w:szCs w:val="21"/>
          <w:highlight w:val="none"/>
          <w:u w:val="single"/>
          <w:lang w:eastAsia="zh-CN"/>
        </w:rPr>
        <w:t>202</w:t>
      </w:r>
      <w:r>
        <w:rPr>
          <w:rFonts w:hint="eastAsia" w:ascii="宋体" w:hAnsi="宋体" w:cs="宋体"/>
          <w:b/>
          <w:bCs/>
          <w:color w:val="auto"/>
          <w:spacing w:val="2"/>
          <w:sz w:val="21"/>
          <w:szCs w:val="21"/>
          <w:highlight w:val="none"/>
          <w:u w:val="single"/>
          <w:lang w:val="en-US" w:eastAsia="zh-CN"/>
        </w:rPr>
        <w:t>3</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rPr>
        <w:t>年</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 xml:space="preserve">7 </w:t>
      </w:r>
      <w:r>
        <w:rPr>
          <w:rFonts w:hint="eastAsia" w:ascii="宋体" w:hAnsi="宋体" w:cs="宋体"/>
          <w:b/>
          <w:bCs/>
          <w:color w:val="auto"/>
          <w:spacing w:val="2"/>
          <w:sz w:val="21"/>
          <w:szCs w:val="21"/>
          <w:highlight w:val="none"/>
        </w:rPr>
        <w:t>月</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14</w:t>
      </w:r>
      <w:r>
        <w:rPr>
          <w:rFonts w:hint="eastAsia" w:ascii="宋体" w:hAnsi="宋体" w:cs="宋体"/>
          <w:b/>
          <w:bCs/>
          <w:color w:val="auto"/>
          <w:spacing w:val="2"/>
          <w:sz w:val="21"/>
          <w:szCs w:val="21"/>
          <w:highlight w:val="none"/>
        </w:rPr>
        <w:t>日</w:t>
      </w:r>
      <w:r>
        <w:rPr>
          <w:rFonts w:hint="eastAsia" w:ascii="宋体" w:hAnsi="宋体" w:cs="宋体"/>
          <w:color w:val="auto"/>
          <w:spacing w:val="2"/>
          <w:sz w:val="21"/>
          <w:szCs w:val="21"/>
          <w:highlight w:val="none"/>
        </w:rPr>
        <w:t>（</w:t>
      </w:r>
      <w:r>
        <w:rPr>
          <w:rFonts w:hint="eastAsia" w:ascii="宋体" w:hAnsi="宋体" w:cs="宋体"/>
          <w:bCs/>
          <w:color w:val="auto"/>
          <w:kern w:val="0"/>
          <w:sz w:val="21"/>
          <w:szCs w:val="21"/>
          <w:highlight w:val="none"/>
          <w:u w:val="single"/>
        </w:rPr>
        <w:t>双休日及法定节假日除外。</w:t>
      </w:r>
      <w:r>
        <w:rPr>
          <w:rFonts w:hint="eastAsia" w:ascii="宋体" w:hAnsi="宋体" w:cs="宋体"/>
          <w:color w:val="auto"/>
          <w:spacing w:val="2"/>
          <w:sz w:val="21"/>
          <w:szCs w:val="21"/>
          <w:highlight w:val="none"/>
        </w:rPr>
        <w:t>），每日</w:t>
      </w:r>
      <w:r>
        <w:rPr>
          <w:rFonts w:hint="eastAsia" w:ascii="宋体" w:hAnsi="宋体" w:cs="Arial"/>
          <w:color w:val="auto"/>
          <w:sz w:val="21"/>
          <w:szCs w:val="21"/>
          <w:highlight w:val="none"/>
        </w:rPr>
        <w:t>上午：</w:t>
      </w:r>
      <w:r>
        <w:rPr>
          <w:rFonts w:hint="eastAsia" w:ascii="宋体" w:hAnsi="宋体" w:cs="Arial"/>
          <w:color w:val="auto"/>
          <w:sz w:val="21"/>
          <w:szCs w:val="21"/>
          <w:highlight w:val="none"/>
          <w:u w:val="single"/>
          <w:lang w:val="en-US" w:eastAsia="zh-CN"/>
        </w:rPr>
        <w:t>9</w:t>
      </w:r>
      <w:r>
        <w:rPr>
          <w:rFonts w:hint="eastAsia" w:ascii="宋体" w:hAnsi="宋体" w:cs="Arial"/>
          <w:color w:val="auto"/>
          <w:sz w:val="21"/>
          <w:szCs w:val="21"/>
          <w:highlight w:val="none"/>
          <w:u w:val="single"/>
        </w:rPr>
        <w:t>：</w:t>
      </w:r>
      <w:r>
        <w:rPr>
          <w:rFonts w:hint="eastAsia" w:ascii="宋体" w:hAnsi="宋体" w:cs="Arial"/>
          <w:color w:val="auto"/>
          <w:sz w:val="21"/>
          <w:szCs w:val="21"/>
          <w:highlight w:val="none"/>
          <w:u w:val="single"/>
          <w:lang w:val="en-US" w:eastAsia="zh-CN"/>
        </w:rPr>
        <w:t>0</w:t>
      </w:r>
      <w:r>
        <w:rPr>
          <w:rFonts w:hint="eastAsia" w:ascii="宋体" w:hAnsi="宋体" w:cs="Arial"/>
          <w:color w:val="auto"/>
          <w:sz w:val="21"/>
          <w:szCs w:val="21"/>
          <w:highlight w:val="none"/>
          <w:u w:val="single"/>
        </w:rPr>
        <w:t>0-11：00</w:t>
      </w:r>
      <w:r>
        <w:rPr>
          <w:rFonts w:hint="eastAsia" w:ascii="宋体" w:hAnsi="宋体" w:cs="Arial"/>
          <w:color w:val="auto"/>
          <w:sz w:val="21"/>
          <w:szCs w:val="21"/>
          <w:highlight w:val="none"/>
        </w:rPr>
        <w:t xml:space="preserve"> ；下午：</w:t>
      </w:r>
      <w:r>
        <w:rPr>
          <w:rFonts w:hint="eastAsia" w:ascii="宋体" w:hAnsi="宋体" w:cs="Arial"/>
          <w:color w:val="auto"/>
          <w:sz w:val="21"/>
          <w:szCs w:val="21"/>
          <w:highlight w:val="none"/>
          <w:u w:val="single"/>
        </w:rPr>
        <w:t>14：00-17：00，</w:t>
      </w:r>
      <w:r>
        <w:rPr>
          <w:rFonts w:hint="eastAsia" w:ascii="宋体" w:hAnsi="宋体" w:cs="宋体"/>
          <w:color w:val="auto"/>
          <w:spacing w:val="2"/>
          <w:sz w:val="21"/>
          <w:szCs w:val="21"/>
          <w:highlight w:val="none"/>
        </w:rPr>
        <w:t>（北京时间，下同）</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获取</w:t>
      </w:r>
      <w:r>
        <w:rPr>
          <w:rFonts w:hint="eastAsia" w:ascii="宋体" w:hAnsi="宋体" w:cs="宋体"/>
          <w:color w:val="auto"/>
          <w:spacing w:val="2"/>
          <w:sz w:val="21"/>
          <w:szCs w:val="21"/>
          <w:highlight w:val="none"/>
          <w:lang w:val="en-US" w:eastAsia="zh-CN"/>
        </w:rPr>
        <w:t>方式</w:t>
      </w:r>
      <w:r>
        <w:rPr>
          <w:rFonts w:hint="eastAsia" w:ascii="宋体" w:hAnsi="宋体" w:cs="宋体"/>
          <w:color w:val="auto"/>
          <w:spacing w:val="2"/>
          <w:sz w:val="21"/>
          <w:szCs w:val="21"/>
          <w:highlight w:val="none"/>
        </w:rPr>
        <w:t>：凡有意参加投标者，请于2023年</w:t>
      </w:r>
      <w:r>
        <w:rPr>
          <w:rFonts w:hint="eastAsia" w:ascii="宋体" w:hAnsi="宋体" w:cs="宋体"/>
          <w:color w:val="auto"/>
          <w:spacing w:val="2"/>
          <w:sz w:val="21"/>
          <w:szCs w:val="21"/>
          <w:highlight w:val="none"/>
          <w:lang w:val="en-US" w:eastAsia="zh-CN"/>
        </w:rPr>
        <w:t>7</w:t>
      </w:r>
      <w:r>
        <w:rPr>
          <w:rFonts w:hint="eastAsia" w:ascii="宋体" w:hAnsi="宋体" w:cs="宋体"/>
          <w:color w:val="auto"/>
          <w:spacing w:val="2"/>
          <w:sz w:val="21"/>
          <w:szCs w:val="21"/>
          <w:highlight w:val="none"/>
        </w:rPr>
        <w:t>月</w:t>
      </w:r>
      <w:r>
        <w:rPr>
          <w:rFonts w:hint="eastAsia" w:ascii="宋体" w:hAnsi="宋体" w:cs="宋体"/>
          <w:color w:val="auto"/>
          <w:spacing w:val="2"/>
          <w:sz w:val="21"/>
          <w:szCs w:val="21"/>
          <w:highlight w:val="none"/>
          <w:lang w:val="en-US" w:eastAsia="zh-CN"/>
        </w:rPr>
        <w:t>7</w:t>
      </w:r>
      <w:r>
        <w:rPr>
          <w:rFonts w:hint="eastAsia" w:ascii="宋体" w:hAnsi="宋体" w:cs="宋体"/>
          <w:color w:val="auto"/>
          <w:spacing w:val="2"/>
          <w:sz w:val="21"/>
          <w:szCs w:val="21"/>
          <w:highlight w:val="none"/>
        </w:rPr>
        <w:t>日至2023年7月</w:t>
      </w:r>
      <w:r>
        <w:rPr>
          <w:rFonts w:hint="eastAsia" w:ascii="宋体" w:hAnsi="宋体" w:cs="宋体"/>
          <w:color w:val="auto"/>
          <w:spacing w:val="2"/>
          <w:sz w:val="21"/>
          <w:szCs w:val="21"/>
          <w:highlight w:val="none"/>
          <w:lang w:val="en-US" w:eastAsia="zh-CN"/>
        </w:rPr>
        <w:t>14</w:t>
      </w:r>
      <w:r>
        <w:rPr>
          <w:rFonts w:hint="eastAsia" w:ascii="宋体" w:hAnsi="宋体" w:cs="宋体"/>
          <w:color w:val="auto"/>
          <w:spacing w:val="2"/>
          <w:sz w:val="21"/>
          <w:szCs w:val="21"/>
          <w:highlight w:val="none"/>
        </w:rPr>
        <w:t>日（法定公休日、法定节假日除外），每日上午</w:t>
      </w:r>
      <w:r>
        <w:rPr>
          <w:rFonts w:hint="eastAsia" w:ascii="宋体" w:hAnsi="宋体" w:cs="宋体"/>
          <w:color w:val="auto"/>
          <w:spacing w:val="2"/>
          <w:sz w:val="21"/>
          <w:szCs w:val="21"/>
          <w:highlight w:val="none"/>
          <w:lang w:val="en-US" w:eastAsia="zh-CN"/>
        </w:rPr>
        <w:t>9</w:t>
      </w:r>
      <w:r>
        <w:rPr>
          <w:rFonts w:hint="eastAsia"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0时至11:</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0时，下午</w:t>
      </w:r>
      <w:r>
        <w:rPr>
          <w:rFonts w:hint="eastAsia" w:ascii="宋体" w:hAnsi="宋体" w:cs="宋体"/>
          <w:color w:val="auto"/>
          <w:spacing w:val="2"/>
          <w:sz w:val="21"/>
          <w:szCs w:val="21"/>
          <w:highlight w:val="none"/>
          <w:lang w:val="en-US" w:eastAsia="zh-CN"/>
        </w:rPr>
        <w:t>14</w:t>
      </w:r>
      <w:r>
        <w:rPr>
          <w:rFonts w:hint="eastAsia"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0时至</w:t>
      </w:r>
      <w:r>
        <w:rPr>
          <w:rFonts w:hint="eastAsia" w:ascii="宋体" w:hAnsi="宋体" w:cs="宋体"/>
          <w:color w:val="auto"/>
          <w:spacing w:val="2"/>
          <w:sz w:val="21"/>
          <w:szCs w:val="21"/>
          <w:highlight w:val="none"/>
          <w:lang w:val="en-US" w:eastAsia="zh-CN"/>
        </w:rPr>
        <w:t>17</w:t>
      </w:r>
      <w:r>
        <w:rPr>
          <w:rFonts w:hint="eastAsia" w:ascii="宋体" w:hAnsi="宋体" w:cs="宋体"/>
          <w:color w:val="auto"/>
          <w:spacing w:val="2"/>
          <w:sz w:val="21"/>
          <w:szCs w:val="21"/>
          <w:highlight w:val="none"/>
        </w:rPr>
        <w:t>:00时（北京时间，下同），将单位介绍信（或委托书）、经办人身份证（正反面）、企业法人营业执照（副本）、资质证书（副本）</w:t>
      </w:r>
      <w:r>
        <w:rPr>
          <w:rFonts w:hint="eastAsia" w:ascii="宋体" w:hAnsi="宋体" w:cs="宋体"/>
          <w:color w:val="auto"/>
          <w:spacing w:val="2"/>
          <w:sz w:val="21"/>
          <w:szCs w:val="21"/>
          <w:highlight w:val="none"/>
          <w:lang w:eastAsia="zh-CN"/>
        </w:rPr>
        <w:t>等</w:t>
      </w:r>
      <w:r>
        <w:rPr>
          <w:rFonts w:hint="eastAsia" w:ascii="宋体" w:hAnsi="宋体" w:cs="宋体"/>
          <w:color w:val="auto"/>
          <w:spacing w:val="2"/>
          <w:sz w:val="21"/>
          <w:szCs w:val="21"/>
          <w:highlight w:val="none"/>
        </w:rPr>
        <w:t>报名资料扫描件及联系电话发送至</w:t>
      </w:r>
      <w:r>
        <w:rPr>
          <w:rFonts w:hint="eastAsia" w:ascii="宋体" w:hAnsi="宋体" w:cs="宋体"/>
          <w:color w:val="auto"/>
          <w:spacing w:val="2"/>
          <w:sz w:val="21"/>
          <w:szCs w:val="21"/>
          <w:highlight w:val="none"/>
          <w:lang w:val="en-US" w:eastAsia="zh-CN"/>
        </w:rPr>
        <w:t>1303993587</w:t>
      </w:r>
      <w:r>
        <w:rPr>
          <w:rFonts w:hint="eastAsia" w:ascii="宋体" w:hAnsi="宋体" w:cs="宋体"/>
          <w:color w:val="auto"/>
          <w:spacing w:val="2"/>
          <w:sz w:val="21"/>
          <w:szCs w:val="21"/>
          <w:highlight w:val="none"/>
        </w:rPr>
        <w:t>@qq.com邮箱进行报名，报名审核通过并缴费后，即可通过电子邮件方式获取电子版招标文件。</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本项目报名与认购招标文件同时进行，招标人和招标代理单位不再另行通知。</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3.2投标人应对报名资料的真实性、有效性负责，招标人不保证通过报名审查即通过资格审查。</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Cs w:val="21"/>
          <w:highlight w:val="none"/>
        </w:rPr>
      </w:pPr>
      <w:r>
        <w:rPr>
          <w:rFonts w:hint="eastAsia" w:ascii="宋体" w:hAnsi="宋体" w:eastAsia="宋体" w:cs="宋体"/>
          <w:color w:val="auto"/>
          <w:spacing w:val="2"/>
          <w:sz w:val="21"/>
          <w:szCs w:val="21"/>
          <w:highlight w:val="none"/>
          <w:lang w:val="en-US" w:eastAsia="zh-CN"/>
        </w:rPr>
        <w:t>招标</w:t>
      </w:r>
      <w:r>
        <w:rPr>
          <w:rFonts w:hint="eastAsia" w:ascii="宋体" w:hAnsi="宋体" w:eastAsia="宋体" w:cs="宋体"/>
          <w:color w:val="auto"/>
          <w:spacing w:val="2"/>
          <w:sz w:val="21"/>
          <w:szCs w:val="21"/>
          <w:highlight w:val="none"/>
        </w:rPr>
        <w:t>文件费用：</w:t>
      </w:r>
      <w:r>
        <w:rPr>
          <w:rFonts w:hint="eastAsia" w:ascii="宋体" w:hAnsi="宋体" w:eastAsia="宋体" w:cs="宋体"/>
          <w:color w:val="auto"/>
          <w:spacing w:val="2"/>
          <w:sz w:val="21"/>
          <w:szCs w:val="21"/>
          <w:highlight w:val="none"/>
          <w:lang w:val="en-US" w:eastAsia="zh-CN"/>
        </w:rPr>
        <w:t>招标</w:t>
      </w:r>
      <w:r>
        <w:rPr>
          <w:rFonts w:hint="eastAsia" w:ascii="宋体" w:hAnsi="宋体" w:eastAsia="宋体" w:cs="宋体"/>
          <w:color w:val="auto"/>
          <w:spacing w:val="2"/>
          <w:sz w:val="21"/>
          <w:szCs w:val="21"/>
          <w:highlight w:val="none"/>
        </w:rPr>
        <w:t>文件每套售价</w:t>
      </w:r>
      <w:r>
        <w:rPr>
          <w:rFonts w:hint="eastAsia" w:ascii="宋体" w:hAnsi="宋体" w:eastAsia="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lang w:val="en-US" w:eastAsia="zh-CN"/>
        </w:rPr>
        <w:t>0</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元人民币。</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投标文件的递交</w:t>
      </w:r>
    </w:p>
    <w:p>
      <w:pPr>
        <w:pStyle w:val="9"/>
        <w:numPr>
          <w:ilvl w:val="0"/>
          <w:numId w:val="0"/>
        </w:numPr>
        <w:adjustRightInd w:val="0"/>
        <w:snapToGrid w:val="0"/>
        <w:spacing w:line="440" w:lineRule="exact"/>
        <w:ind w:left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5.1</w:t>
      </w:r>
      <w:r>
        <w:rPr>
          <w:rFonts w:hint="eastAsia" w:asciiTheme="minorEastAsia" w:hAnsiTheme="minorEastAsia" w:eastAsiaTheme="minorEastAsia"/>
          <w:color w:val="auto"/>
          <w:szCs w:val="21"/>
          <w:highlight w:val="none"/>
        </w:rPr>
        <w:t>纸质投标文件的递交：递交纸质投标文件的截止时间（即投标截止时间）为：</w:t>
      </w:r>
    </w:p>
    <w:p>
      <w:pPr>
        <w:adjustRightInd w:val="0"/>
        <w:snapToGrid w:val="0"/>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u w:val="single"/>
          <w:lang w:eastAsia="zh-CN"/>
        </w:rPr>
        <w:t>202</w:t>
      </w:r>
      <w:r>
        <w:rPr>
          <w:rFonts w:hint="eastAsia" w:asciiTheme="minorEastAsia" w:hAnsiTheme="minorEastAsia" w:eastAsiaTheme="minorEastAsia"/>
          <w:b/>
          <w:bCs/>
          <w:color w:val="auto"/>
          <w:szCs w:val="21"/>
          <w:highlight w:val="none"/>
          <w:u w:val="single"/>
          <w:lang w:val="en-US" w:eastAsia="zh-CN"/>
        </w:rPr>
        <w:t>3</w:t>
      </w:r>
      <w:r>
        <w:rPr>
          <w:rFonts w:hint="eastAsia" w:asciiTheme="minorEastAsia" w:hAnsiTheme="minorEastAsia" w:eastAsiaTheme="minorEastAsia"/>
          <w:b/>
          <w:bCs/>
          <w:color w:val="auto"/>
          <w:szCs w:val="21"/>
          <w:highlight w:val="none"/>
          <w:u w:val="single"/>
        </w:rPr>
        <w:t>年</w:t>
      </w:r>
      <w:r>
        <w:rPr>
          <w:rFonts w:hint="eastAsia" w:asciiTheme="minorEastAsia" w:hAnsiTheme="minorEastAsia" w:eastAsiaTheme="minorEastAsia"/>
          <w:b/>
          <w:bCs/>
          <w:color w:val="auto"/>
          <w:szCs w:val="21"/>
          <w:highlight w:val="none"/>
          <w:u w:val="single"/>
          <w:lang w:val="en-US" w:eastAsia="zh-CN"/>
        </w:rPr>
        <w:t xml:space="preserve"> 7 </w:t>
      </w:r>
      <w:r>
        <w:rPr>
          <w:rFonts w:hint="eastAsia" w:asciiTheme="minorEastAsia" w:hAnsiTheme="minorEastAsia" w:eastAsiaTheme="minorEastAsia"/>
          <w:b/>
          <w:bCs/>
          <w:color w:val="auto"/>
          <w:szCs w:val="21"/>
          <w:highlight w:val="none"/>
          <w:u w:val="single"/>
        </w:rPr>
        <w:t>月</w:t>
      </w:r>
      <w:r>
        <w:rPr>
          <w:rFonts w:hint="eastAsia" w:asciiTheme="minorEastAsia" w:hAnsiTheme="minorEastAsia" w:eastAsiaTheme="minorEastAsia"/>
          <w:b/>
          <w:bCs/>
          <w:color w:val="auto"/>
          <w:szCs w:val="21"/>
          <w:highlight w:val="none"/>
          <w:u w:val="single"/>
          <w:lang w:val="en-US" w:eastAsia="zh-CN"/>
        </w:rPr>
        <w:t xml:space="preserve"> 28</w:t>
      </w:r>
      <w:r>
        <w:rPr>
          <w:rFonts w:hint="eastAsia" w:asciiTheme="minorEastAsia" w:hAnsiTheme="minorEastAsia" w:eastAsiaTheme="minorEastAsia"/>
          <w:b/>
          <w:bCs/>
          <w:color w:val="auto"/>
          <w:szCs w:val="21"/>
          <w:highlight w:val="none"/>
          <w:u w:val="single"/>
        </w:rPr>
        <w:t>日</w:t>
      </w:r>
      <w:r>
        <w:rPr>
          <w:rFonts w:hint="eastAsia" w:asciiTheme="minorEastAsia" w:hAnsiTheme="minorEastAsia" w:eastAsiaTheme="minorEastAsia"/>
          <w:b/>
          <w:bCs/>
          <w:color w:val="auto"/>
          <w:szCs w:val="21"/>
          <w:highlight w:val="none"/>
          <w:u w:val="single"/>
          <w:lang w:val="en-US" w:eastAsia="zh-CN"/>
        </w:rPr>
        <w:t xml:space="preserve"> 10 </w:t>
      </w:r>
      <w:r>
        <w:rPr>
          <w:rFonts w:hint="eastAsia" w:asciiTheme="minorEastAsia" w:hAnsiTheme="minorEastAsia" w:eastAsiaTheme="minorEastAsia"/>
          <w:b/>
          <w:bCs/>
          <w:color w:val="auto"/>
          <w:szCs w:val="21"/>
          <w:highlight w:val="none"/>
          <w:u w:val="single"/>
        </w:rPr>
        <w:t>时</w:t>
      </w:r>
      <w:r>
        <w:rPr>
          <w:rFonts w:hint="eastAsia" w:asciiTheme="minorEastAsia" w:hAnsiTheme="minorEastAsia" w:eastAsiaTheme="minorEastAsia"/>
          <w:b/>
          <w:bCs/>
          <w:color w:val="auto"/>
          <w:szCs w:val="21"/>
          <w:highlight w:val="none"/>
          <w:u w:val="single"/>
          <w:lang w:val="en-US" w:eastAsia="zh-CN"/>
        </w:rPr>
        <w:t xml:space="preserve"> 00 </w:t>
      </w:r>
      <w:r>
        <w:rPr>
          <w:rFonts w:hint="eastAsia" w:asciiTheme="minorEastAsia" w:hAnsiTheme="minorEastAsia" w:eastAsiaTheme="minorEastAsia"/>
          <w:b/>
          <w:bCs/>
          <w:color w:val="auto"/>
          <w:szCs w:val="21"/>
          <w:highlight w:val="none"/>
          <w:u w:val="single"/>
        </w:rPr>
        <w:t>分</w:t>
      </w:r>
      <w:r>
        <w:rPr>
          <w:rFonts w:hint="eastAsia" w:asciiTheme="minorEastAsia" w:hAnsiTheme="minorEastAsia" w:eastAsiaTheme="minorEastAsia"/>
          <w:color w:val="auto"/>
          <w:szCs w:val="21"/>
          <w:highlight w:val="none"/>
        </w:rPr>
        <w:t>，投标文件递交地点：</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val="en-US" w:eastAsia="zh-CN"/>
        </w:rPr>
        <w:t xml:space="preserve">嘉兴市恬园路282号禾兴大厦辅楼三楼开标室    </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w:t>
      </w:r>
    </w:p>
    <w:p>
      <w:pPr>
        <w:adjustRightInd w:val="0"/>
        <w:snapToGrid w:val="0"/>
        <w:spacing w:line="440" w:lineRule="exact"/>
        <w:ind w:firstLine="420" w:firstLineChars="200"/>
        <w:rPr>
          <w:rFonts w:hint="eastAsia" w:asciiTheme="minorEastAsia" w:hAnsiTheme="minorEastAsia" w:eastAsiaTheme="minorEastAsia"/>
          <w:b w:val="0"/>
          <w:bCs w:val="0"/>
          <w:color w:val="auto"/>
          <w:szCs w:val="21"/>
          <w:highlight w:val="none"/>
        </w:rPr>
      </w:pPr>
      <w:r>
        <w:rPr>
          <w:rFonts w:hint="eastAsia" w:ascii="宋体" w:hAnsi="宋体" w:cs="宋体"/>
          <w:b w:val="0"/>
          <w:bCs w:val="0"/>
          <w:color w:val="auto"/>
          <w:kern w:val="2"/>
          <w:sz w:val="21"/>
          <w:szCs w:val="21"/>
          <w:highlight w:val="none"/>
          <w:lang w:val="en-US" w:eastAsia="zh-CN" w:bidi="ar-SA"/>
        </w:rPr>
        <w:t>5.2</w:t>
      </w:r>
      <w:r>
        <w:rPr>
          <w:rFonts w:hint="eastAsia" w:asciiTheme="minorEastAsia" w:hAnsiTheme="minorEastAsia" w:eastAsiaTheme="minorEastAsia"/>
          <w:b w:val="0"/>
          <w:bCs w:val="0"/>
          <w:color w:val="auto"/>
          <w:szCs w:val="21"/>
          <w:highlight w:val="none"/>
        </w:rPr>
        <w:t>本项目将于上述同一时间、地点进行开标，</w:t>
      </w:r>
      <w:r>
        <w:rPr>
          <w:rFonts w:hint="eastAsia" w:asciiTheme="minorEastAsia" w:hAnsiTheme="minorEastAsia" w:eastAsiaTheme="minorEastAsia"/>
          <w:b w:val="0"/>
          <w:bCs w:val="0"/>
          <w:color w:val="auto"/>
          <w:spacing w:val="2"/>
          <w:szCs w:val="21"/>
          <w:highlight w:val="none"/>
        </w:rPr>
        <w:t>招标人</w:t>
      </w:r>
      <w:r>
        <w:rPr>
          <w:rFonts w:hint="eastAsia" w:asciiTheme="minorEastAsia" w:hAnsiTheme="minorEastAsia" w:eastAsiaTheme="minorEastAsia"/>
          <w:b w:val="0"/>
          <w:bCs w:val="0"/>
          <w:color w:val="auto"/>
          <w:szCs w:val="21"/>
          <w:highlight w:val="none"/>
        </w:rPr>
        <w:t>邀请投标人的法定代表人或者其委托的代理人准时参加。</w:t>
      </w:r>
    </w:p>
    <w:p>
      <w:pPr>
        <w:adjustRightInd w:val="0"/>
        <w:snapToGrid w:val="0"/>
        <w:spacing w:line="440" w:lineRule="exact"/>
        <w:ind w:firstLine="420" w:firstLineChars="200"/>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lang w:val="en-US" w:eastAsia="zh-CN"/>
        </w:rPr>
        <w:t>5.3</w:t>
      </w:r>
      <w:r>
        <w:rPr>
          <w:rFonts w:hint="eastAsia" w:asciiTheme="minorEastAsia" w:hAnsiTheme="minorEastAsia" w:eastAsiaTheme="minorEastAsia"/>
          <w:b w:val="0"/>
          <w:bCs w:val="0"/>
          <w:color w:val="auto"/>
          <w:szCs w:val="21"/>
          <w:highlight w:val="none"/>
        </w:rPr>
        <w:t>出现以下情形时，</w:t>
      </w:r>
      <w:r>
        <w:rPr>
          <w:rFonts w:hint="eastAsia" w:asciiTheme="minorEastAsia" w:hAnsiTheme="minorEastAsia" w:eastAsiaTheme="minorEastAsia"/>
          <w:b w:val="0"/>
          <w:bCs w:val="0"/>
          <w:color w:val="auto"/>
          <w:spacing w:val="2"/>
          <w:szCs w:val="21"/>
          <w:highlight w:val="none"/>
        </w:rPr>
        <w:t>招标人</w:t>
      </w:r>
      <w:r>
        <w:rPr>
          <w:rFonts w:hint="eastAsia" w:asciiTheme="minorEastAsia" w:hAnsiTheme="minorEastAsia" w:eastAsiaTheme="minorEastAsia"/>
          <w:b w:val="0"/>
          <w:bCs w:val="0"/>
          <w:color w:val="auto"/>
          <w:szCs w:val="21"/>
          <w:highlight w:val="none"/>
        </w:rPr>
        <w:t>不予接收投标文件：</w:t>
      </w:r>
    </w:p>
    <w:p>
      <w:pPr>
        <w:adjustRightInd w:val="0"/>
        <w:snapToGrid w:val="0"/>
        <w:spacing w:line="440" w:lineRule="exact"/>
        <w:ind w:firstLine="420" w:firstLineChars="200"/>
        <w:rPr>
          <w:rFonts w:hint="eastAsia"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zCs w:val="21"/>
          <w:highlight w:val="none"/>
          <w:lang w:val="en-US" w:eastAsia="zh-CN"/>
        </w:rPr>
        <w:t>5.3.1</w:t>
      </w:r>
      <w:r>
        <w:rPr>
          <w:rFonts w:hint="eastAsia" w:asciiTheme="minorEastAsia" w:hAnsiTheme="minorEastAsia" w:eastAsiaTheme="minorEastAsia"/>
          <w:b w:val="0"/>
          <w:bCs w:val="0"/>
          <w:color w:val="auto"/>
          <w:spacing w:val="2"/>
          <w:szCs w:val="21"/>
          <w:highlight w:val="none"/>
        </w:rPr>
        <w:t>逾期送达或者未送达指定地点的；</w:t>
      </w:r>
    </w:p>
    <w:p>
      <w:pPr>
        <w:adjustRightInd w:val="0"/>
        <w:snapToGrid w:val="0"/>
        <w:spacing w:line="440" w:lineRule="exact"/>
        <w:ind w:firstLine="428" w:firstLineChars="200"/>
        <w:rPr>
          <w:rFonts w:hint="eastAsia"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pacing w:val="2"/>
          <w:szCs w:val="21"/>
          <w:highlight w:val="none"/>
          <w:lang w:val="en-US" w:eastAsia="zh-CN"/>
        </w:rPr>
        <w:t>5.3.2</w:t>
      </w:r>
      <w:r>
        <w:rPr>
          <w:rFonts w:hint="eastAsia" w:asciiTheme="minorEastAsia" w:hAnsiTheme="minorEastAsia" w:eastAsiaTheme="minorEastAsia"/>
          <w:b w:val="0"/>
          <w:bCs w:val="0"/>
          <w:color w:val="auto"/>
          <w:spacing w:val="2"/>
          <w:szCs w:val="21"/>
          <w:highlight w:val="none"/>
        </w:rPr>
        <w:t>未按照招标文件要求密封的；</w:t>
      </w:r>
    </w:p>
    <w:p>
      <w:pPr>
        <w:adjustRightInd w:val="0"/>
        <w:snapToGrid w:val="0"/>
        <w:spacing w:line="440" w:lineRule="exact"/>
        <w:ind w:firstLine="428" w:firstLineChars="200"/>
        <w:rPr>
          <w:rFonts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pacing w:val="2"/>
          <w:szCs w:val="21"/>
          <w:highlight w:val="none"/>
          <w:lang w:val="en-US" w:eastAsia="zh-CN"/>
        </w:rPr>
        <w:t>5.3.3</w:t>
      </w:r>
      <w:r>
        <w:rPr>
          <w:rFonts w:hint="eastAsia" w:asciiTheme="minorEastAsia" w:hAnsiTheme="minorEastAsia" w:eastAsiaTheme="minorEastAsia"/>
          <w:b w:val="0"/>
          <w:bCs w:val="0"/>
          <w:color w:val="auto"/>
          <w:spacing w:val="2"/>
          <w:szCs w:val="21"/>
          <w:highlight w:val="none"/>
        </w:rPr>
        <w:t>未按照本公告要求获得本项目招标文件的。</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发布公告的媒介</w:t>
      </w:r>
    </w:p>
    <w:p>
      <w:pPr>
        <w:pStyle w:val="9"/>
        <w:adjustRightInd w:val="0"/>
        <w:snapToGrid w:val="0"/>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本次招标公告只在中国招标投标公共服务平台（http://www.cebpubservice.com）、</w:t>
      </w:r>
      <w:r>
        <w:rPr>
          <w:rFonts w:hint="eastAsia" w:asciiTheme="minorEastAsia" w:hAnsiTheme="minorEastAsia" w:eastAsiaTheme="minorEastAsia"/>
          <w:color w:val="auto"/>
          <w:szCs w:val="21"/>
          <w:highlight w:val="none"/>
          <w:lang w:eastAsia="zh-CN"/>
        </w:rPr>
        <w:t>嘉兴市银建工程咨询评估有限公司</w:t>
      </w:r>
      <w:r>
        <w:rPr>
          <w:rFonts w:hint="eastAsia" w:asciiTheme="minorEastAsia" w:hAnsiTheme="minorEastAsia" w:eastAsiaTheme="minorEastAsia"/>
          <w:color w:val="auto"/>
          <w:szCs w:val="21"/>
          <w:highlight w:val="none"/>
        </w:rPr>
        <w:t>招投标平台（</w:t>
      </w:r>
      <w:r>
        <w:rPr>
          <w:rFonts w:hint="eastAsia" w:ascii="宋体" w:hAnsi="宋体" w:eastAsiaTheme="minorEastAsia"/>
          <w:color w:val="auto"/>
          <w:szCs w:val="21"/>
          <w:highlight w:val="none"/>
          <w:lang w:eastAsia="zh-CN"/>
        </w:rPr>
        <w:t>http://www.yjgczx.com.cn/</w:t>
      </w:r>
      <w:r>
        <w:rPr>
          <w:rFonts w:hint="eastAsia" w:asciiTheme="minorEastAsia" w:hAnsiTheme="minorEastAsia" w:eastAsiaTheme="minorEastAsia"/>
          <w:color w:val="auto"/>
          <w:szCs w:val="21"/>
          <w:highlight w:val="none"/>
        </w:rPr>
        <w:t>）上发布，其他媒体转载无效。</w:t>
      </w:r>
    </w:p>
    <w:p>
      <w:pPr>
        <w:pStyle w:val="9"/>
        <w:numPr>
          <w:ilvl w:val="0"/>
          <w:numId w:val="1"/>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联系方式</w:t>
      </w:r>
    </w:p>
    <w:p>
      <w:pPr>
        <w:spacing w:line="3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招 标 人：</w:t>
      </w:r>
      <w:r>
        <w:rPr>
          <w:rFonts w:hint="eastAsia" w:asciiTheme="minorEastAsia" w:hAnsiTheme="minorEastAsia" w:eastAsiaTheme="minorEastAsia"/>
          <w:color w:val="auto"/>
          <w:szCs w:val="21"/>
          <w:highlight w:val="none"/>
          <w:lang w:eastAsia="zh-CN"/>
        </w:rPr>
        <w:t>浙江恒发新能源有限责任公司</w:t>
      </w:r>
    </w:p>
    <w:p>
      <w:pPr>
        <w:spacing w:line="380" w:lineRule="exact"/>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毛女士</w:t>
      </w:r>
    </w:p>
    <w:p>
      <w:pPr>
        <w:spacing w:line="380" w:lineRule="exact"/>
        <w:ind w:firstLine="420" w:firstLineChars="200"/>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电话：0573-87637572</w:t>
      </w:r>
    </w:p>
    <w:p>
      <w:pPr>
        <w:spacing w:line="3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地址：浙江省海宁市海昌南路357号13F</w:t>
      </w:r>
    </w:p>
    <w:p>
      <w:pPr>
        <w:spacing w:line="380" w:lineRule="exact"/>
        <w:ind w:firstLine="420" w:firstLineChars="200"/>
      </w:pPr>
      <w:r>
        <w:rPr>
          <w:rFonts w:hint="eastAsia" w:asciiTheme="minorEastAsia" w:hAnsiTheme="minorEastAsia" w:eastAsiaTheme="minorEastAsia"/>
          <w:color w:val="auto"/>
          <w:szCs w:val="21"/>
          <w:highlight w:val="none"/>
        </w:rPr>
        <w:t>招标代理机构：</w:t>
      </w:r>
      <w:r>
        <w:rPr>
          <w:rFonts w:hint="eastAsia" w:asciiTheme="minorEastAsia" w:hAnsiTheme="minorEastAsia" w:eastAsiaTheme="minorEastAsia"/>
          <w:color w:val="auto"/>
          <w:szCs w:val="21"/>
          <w:highlight w:val="none"/>
          <w:lang w:eastAsia="zh-CN"/>
        </w:rPr>
        <w:t>嘉兴市银建工程咨询评估有限公司</w:t>
      </w:r>
    </w:p>
    <w:p>
      <w:pPr>
        <w:spacing w:line="380" w:lineRule="exact"/>
        <w:ind w:firstLine="420" w:firstLineChars="200"/>
        <w:rPr>
          <w:rFonts w:hint="eastAsia" w:ascii="宋体" w:hAnsi="宋体"/>
          <w:color w:val="auto"/>
          <w:szCs w:val="21"/>
          <w:highlight w:val="none"/>
          <w:lang w:val="en-US" w:eastAsia="zh-CN"/>
        </w:rPr>
      </w:pPr>
      <w:r>
        <w:rPr>
          <w:rFonts w:hint="eastAsia" w:asciiTheme="minorEastAsia" w:hAnsiTheme="minorEastAsia" w:eastAsiaTheme="minorEastAsia"/>
          <w:color w:val="auto"/>
          <w:szCs w:val="21"/>
          <w:highlight w:val="none"/>
        </w:rPr>
        <w:t>联系人：</w:t>
      </w:r>
      <w:r>
        <w:rPr>
          <w:rFonts w:hint="eastAsia" w:ascii="宋体" w:hAnsi="宋体"/>
          <w:color w:val="auto"/>
          <w:szCs w:val="21"/>
          <w:highlight w:val="none"/>
          <w:lang w:val="en-US" w:eastAsia="zh-CN"/>
        </w:rPr>
        <w:t xml:space="preserve">杨凡           </w:t>
      </w:r>
    </w:p>
    <w:p>
      <w:pPr>
        <w:spacing w:line="380" w:lineRule="exact"/>
        <w:rPr>
          <w:rFonts w:hint="eastAsia"/>
          <w:lang w:val="en-US" w:eastAsia="zh-CN"/>
        </w:rPr>
      </w:pPr>
      <w:r>
        <w:rPr>
          <w:rFonts w:hint="eastAsia" w:ascii="宋体" w:hAnsi="宋体"/>
          <w:color w:val="auto"/>
          <w:szCs w:val="21"/>
          <w:highlight w:val="none"/>
          <w:lang w:val="en-US" w:eastAsia="zh-CN"/>
        </w:rPr>
        <w:t xml:space="preserve">    地址：嘉兴市秀洲区洪兴路2399号宝地大厦12、15楼                                                                                      </w:t>
      </w:r>
    </w:p>
    <w:p>
      <w:pPr>
        <w:spacing w:line="380" w:lineRule="exact"/>
        <w:ind w:firstLine="420" w:firstLineChars="200"/>
        <w:rPr>
          <w:rFonts w:hint="default"/>
          <w:lang w:val="en-US" w:eastAsia="zh-CN"/>
        </w:rPr>
      </w:pPr>
      <w:r>
        <w:rPr>
          <w:rFonts w:hint="eastAsia" w:asciiTheme="minorEastAsia" w:hAnsiTheme="minorEastAsia" w:eastAsiaTheme="minorEastAsia"/>
          <w:color w:val="auto"/>
          <w:szCs w:val="21"/>
          <w:highlight w:val="none"/>
        </w:rPr>
        <w:t>电话：</w:t>
      </w:r>
      <w:r>
        <w:rPr>
          <w:rFonts w:hint="eastAsia" w:ascii="宋体" w:hAnsi="宋体"/>
          <w:color w:val="auto"/>
          <w:kern w:val="2"/>
          <w:sz w:val="21"/>
          <w:szCs w:val="22"/>
          <w:highlight w:val="none"/>
          <w:lang w:val="en-US" w:eastAsia="zh-CN"/>
        </w:rPr>
        <w:t>15157403303</w:t>
      </w:r>
    </w:p>
    <w:p>
      <w:pPr>
        <w:spacing w:line="380" w:lineRule="exact"/>
        <w:ind w:firstLine="420" w:firstLineChars="20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电子邮箱：</w:t>
      </w:r>
      <w:r>
        <w:rPr>
          <w:rFonts w:hint="eastAsia" w:cs="宋体" w:asciiTheme="minorEastAsia" w:hAnsiTheme="minorEastAsia" w:eastAsiaTheme="minorEastAsia"/>
          <w:color w:val="auto"/>
          <w:szCs w:val="21"/>
          <w:highlight w:val="none"/>
          <w:lang w:val="en-US" w:eastAsia="zh-CN"/>
        </w:rPr>
        <w:t xml:space="preserve">1303993587@qq.com </w:t>
      </w:r>
    </w:p>
    <w:p>
      <w:pPr>
        <w:spacing w:line="380" w:lineRule="exact"/>
        <w:rPr>
          <w:rFonts w:asciiTheme="minorEastAsia" w:hAnsiTheme="minorEastAsia" w:eastAsiaTheme="minorEastAsia"/>
          <w:color w:val="auto"/>
          <w:szCs w:val="21"/>
          <w:highlight w:val="none"/>
        </w:rPr>
      </w:pPr>
    </w:p>
    <w:p>
      <w:pPr>
        <w:spacing w:line="380" w:lineRule="exact"/>
        <w:rPr>
          <w:rFonts w:asciiTheme="minorEastAsia" w:hAnsiTheme="minorEastAsia" w:eastAsiaTheme="minorEastAsia"/>
          <w:color w:val="auto"/>
          <w:szCs w:val="21"/>
          <w:highlight w:val="none"/>
        </w:rPr>
      </w:pPr>
    </w:p>
    <w:p>
      <w:pPr>
        <w:spacing w:line="380" w:lineRule="exact"/>
        <w:jc w:val="righ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bCs/>
          <w:color w:val="auto"/>
          <w:szCs w:val="21"/>
          <w:highlight w:val="none"/>
        </w:rPr>
        <w:t>招标人</w:t>
      </w:r>
      <w:r>
        <w:rPr>
          <w:rStyle w:val="7"/>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szCs w:val="21"/>
          <w:highlight w:val="none"/>
          <w:lang w:eastAsia="zh-CN"/>
        </w:rPr>
        <w:t>浙江恒发新能源有限责任公司</w:t>
      </w:r>
    </w:p>
    <w:p>
      <w:pPr>
        <w:spacing w:line="380" w:lineRule="exact"/>
        <w:jc w:val="righ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招标代理机构</w:t>
      </w:r>
      <w:r>
        <w:rPr>
          <w:rStyle w:val="7"/>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szCs w:val="21"/>
          <w:highlight w:val="none"/>
          <w:lang w:eastAsia="zh-CN"/>
        </w:rPr>
        <w:t>嘉兴市银建工程咨询评估有限公司</w:t>
      </w:r>
    </w:p>
    <w:p>
      <w:pPr>
        <w:spacing w:line="380" w:lineRule="exact"/>
        <w:ind w:firstLine="4830" w:firstLineChars="230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eastAsia="zh-CN"/>
        </w:rPr>
        <w:t>202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日</w:t>
      </w:r>
    </w:p>
    <w:p>
      <w:r>
        <w:br w:type="page"/>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70"/>
        <w:gridCol w:w="1708"/>
        <w:gridCol w:w="571"/>
        <w:gridCol w:w="570"/>
        <w:gridCol w:w="1236"/>
        <w:gridCol w:w="803"/>
        <w:gridCol w:w="963"/>
        <w:gridCol w:w="595"/>
        <w:gridCol w:w="754"/>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336" w:type="dxa"/>
            <w:gridSpan w:val="10"/>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投标一览表</w:t>
            </w:r>
            <w:r>
              <w:rPr>
                <w:rStyle w:val="10"/>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336" w:type="dxa"/>
            <w:gridSpan w:val="10"/>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项目名称：“嘉兴海宁尖山电网侧储能站项目”储能系统装置设备招标项目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336" w:type="dxa"/>
            <w:gridSpan w:val="10"/>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项目编号：ZJHF2023001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45" w:hRule="atLeast"/>
        </w:trPr>
        <w:tc>
          <w:tcPr>
            <w:tcW w:w="57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default" w:ascii="Arial" w:hAnsi="Arial" w:eastAsia="宋体"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序号</w:t>
            </w:r>
          </w:p>
        </w:tc>
        <w:tc>
          <w:tcPr>
            <w:tcW w:w="1708"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571"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7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236"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项目最高限价        (万元)(含税)</w:t>
            </w:r>
          </w:p>
        </w:tc>
        <w:tc>
          <w:tcPr>
            <w:tcW w:w="803"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税率</w:t>
            </w:r>
            <w:r>
              <w:rPr>
                <w:rStyle w:val="11"/>
                <w:rFonts w:eastAsia="宋体"/>
                <w:lang w:val="en-US" w:eastAsia="zh-CN" w:bidi="ar"/>
              </w:rPr>
              <w:t>(%)</w:t>
            </w:r>
          </w:p>
        </w:tc>
        <w:tc>
          <w:tcPr>
            <w:tcW w:w="963"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w:t>
            </w:r>
            <w:r>
              <w:rPr>
                <w:rStyle w:val="10"/>
                <w:rFonts w:eastAsia="宋体"/>
                <w:lang w:val="en-US" w:eastAsia="zh-CN" w:bidi="ar"/>
              </w:rPr>
              <w:t>(</w:t>
            </w:r>
            <w:r>
              <w:rPr>
                <w:rStyle w:val="12"/>
                <w:lang w:val="en-US" w:eastAsia="zh-CN" w:bidi="ar"/>
              </w:rPr>
              <w:t>万元</w:t>
            </w:r>
            <w:r>
              <w:rPr>
                <w:rStyle w:val="10"/>
                <w:rFonts w:eastAsia="宋体"/>
                <w:lang w:val="en-US" w:eastAsia="zh-CN" w:bidi="ar"/>
              </w:rPr>
              <w:t>)(</w:t>
            </w:r>
            <w:r>
              <w:rPr>
                <w:rStyle w:val="12"/>
                <w:lang w:val="en-US" w:eastAsia="zh-CN" w:bidi="ar"/>
              </w:rPr>
              <w:t>含税</w:t>
            </w:r>
            <w:r>
              <w:rPr>
                <w:rStyle w:val="10"/>
                <w:rFonts w:eastAsia="宋体"/>
                <w:lang w:val="en-US" w:eastAsia="zh-CN" w:bidi="ar"/>
              </w:rPr>
              <w:t>)</w:t>
            </w:r>
          </w:p>
        </w:tc>
        <w:tc>
          <w:tcPr>
            <w:tcW w:w="595"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交货期（日历天）</w:t>
            </w:r>
          </w:p>
        </w:tc>
        <w:tc>
          <w:tcPr>
            <w:tcW w:w="754"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质保期（年）</w:t>
            </w:r>
          </w:p>
        </w:tc>
        <w:tc>
          <w:tcPr>
            <w:tcW w:w="566"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keepNext w:val="0"/>
              <w:keepLines w:val="0"/>
              <w:widowControl/>
              <w:suppressLineNumbers w:val="0"/>
              <w:jc w:val="center"/>
              <w:textAlignment w:val="center"/>
              <w:rPr>
                <w:rFonts w:hint="default" w:ascii="Arial" w:hAnsi="Arial" w:eastAsia="宋体"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55" w:hRule="atLeast"/>
        </w:trPr>
        <w:tc>
          <w:tcPr>
            <w:tcW w:w="570"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p>
        </w:tc>
        <w:tc>
          <w:tcPr>
            <w:tcW w:w="17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“海宁尖山恒发储能电站</w:t>
            </w:r>
            <w:r>
              <w:rPr>
                <w:rFonts w:hint="eastAsia" w:ascii="宋体" w:hAnsi="宋体" w:eastAsia="宋体" w:cs="宋体"/>
                <w:i w:val="0"/>
                <w:color w:val="FF0000"/>
                <w:kern w:val="0"/>
                <w:sz w:val="24"/>
                <w:szCs w:val="24"/>
                <w:u w:val="none"/>
                <w:lang w:val="en-US" w:eastAsia="zh-CN" w:bidi="ar"/>
              </w:rPr>
              <w:br w:type="textWrapping"/>
            </w:r>
            <w:r>
              <w:rPr>
                <w:rFonts w:hint="eastAsia" w:ascii="宋体" w:hAnsi="宋体" w:eastAsia="宋体" w:cs="宋体"/>
                <w:i w:val="0"/>
                <w:color w:val="FF0000"/>
                <w:kern w:val="0"/>
                <w:sz w:val="24"/>
                <w:szCs w:val="24"/>
                <w:u w:val="none"/>
                <w:lang w:val="en-US" w:eastAsia="zh-CN" w:bidi="ar"/>
              </w:rPr>
              <w:t>二期扩建45MW/90MWh储能工程”储能系统装置设备招标项目</w:t>
            </w:r>
          </w:p>
        </w:tc>
        <w:tc>
          <w:tcPr>
            <w:tcW w:w="57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p>
        </w:tc>
        <w:tc>
          <w:tcPr>
            <w:tcW w:w="570"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36"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16982.70 </w:t>
            </w:r>
          </w:p>
        </w:tc>
        <w:tc>
          <w:tcPr>
            <w:tcW w:w="803" w:type="dxa"/>
            <w:tcBorders>
              <w:bottom w:val="single" w:color="000000" w:sz="12" w:space="0"/>
              <w:right w:val="single" w:color="000000" w:sz="12" w:space="0"/>
            </w:tcBorders>
            <w:shd w:val="clear"/>
            <w:vAlign w:val="center"/>
          </w:tcPr>
          <w:p>
            <w:pPr>
              <w:jc w:val="center"/>
              <w:rPr>
                <w:rFonts w:hint="default" w:ascii="Arial" w:hAnsi="Arial" w:eastAsia="宋体" w:cs="Arial"/>
                <w:i w:val="0"/>
                <w:color w:val="000000"/>
                <w:sz w:val="20"/>
                <w:szCs w:val="20"/>
                <w:u w:val="none"/>
              </w:rPr>
            </w:pPr>
          </w:p>
        </w:tc>
        <w:tc>
          <w:tcPr>
            <w:tcW w:w="963" w:type="dxa"/>
            <w:tcBorders>
              <w:bottom w:val="single" w:color="000000" w:sz="12" w:space="0"/>
              <w:right w:val="single" w:color="000000" w:sz="12" w:space="0"/>
            </w:tcBorders>
            <w:shd w:val="clear"/>
            <w:vAlign w:val="center"/>
          </w:tcPr>
          <w:p>
            <w:pPr>
              <w:jc w:val="center"/>
              <w:rPr>
                <w:rFonts w:hint="default" w:ascii="Arial" w:hAnsi="Arial" w:eastAsia="宋体" w:cs="Arial"/>
                <w:i w:val="0"/>
                <w:color w:val="000000"/>
                <w:sz w:val="20"/>
                <w:szCs w:val="20"/>
                <w:u w:val="none"/>
              </w:rPr>
            </w:pPr>
          </w:p>
        </w:tc>
        <w:tc>
          <w:tcPr>
            <w:tcW w:w="595" w:type="dxa"/>
            <w:tcBorders>
              <w:bottom w:val="single" w:color="000000" w:sz="12" w:space="0"/>
              <w:right w:val="single" w:color="000000" w:sz="12" w:space="0"/>
            </w:tcBorders>
            <w:shd w:val="clear"/>
            <w:vAlign w:val="center"/>
          </w:tcPr>
          <w:p>
            <w:pPr>
              <w:jc w:val="center"/>
              <w:rPr>
                <w:rFonts w:hint="default" w:ascii="Arial" w:hAnsi="Arial" w:eastAsia="宋体" w:cs="Arial"/>
                <w:i w:val="0"/>
                <w:color w:val="000000"/>
                <w:sz w:val="20"/>
                <w:szCs w:val="20"/>
                <w:u w:val="none"/>
              </w:rPr>
            </w:pPr>
          </w:p>
        </w:tc>
        <w:tc>
          <w:tcPr>
            <w:tcW w:w="754" w:type="dxa"/>
            <w:tcBorders>
              <w:bottom w:val="single" w:color="000000" w:sz="12" w:space="0"/>
              <w:right w:val="single" w:color="000000" w:sz="12" w:space="0"/>
            </w:tcBorders>
            <w:shd w:val="clear"/>
            <w:vAlign w:val="center"/>
          </w:tcPr>
          <w:p>
            <w:pPr>
              <w:jc w:val="center"/>
              <w:rPr>
                <w:rFonts w:hint="default" w:ascii="Arial" w:hAnsi="Arial" w:eastAsia="宋体" w:cs="Arial"/>
                <w:i w:val="0"/>
                <w:color w:val="000000"/>
                <w:sz w:val="20"/>
                <w:szCs w:val="20"/>
                <w:u w:val="none"/>
              </w:rPr>
            </w:pPr>
          </w:p>
        </w:tc>
        <w:tc>
          <w:tcPr>
            <w:tcW w:w="566"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5" w:hRule="atLeast"/>
        </w:trPr>
        <w:tc>
          <w:tcPr>
            <w:tcW w:w="3419" w:type="dxa"/>
            <w:gridSpan w:val="4"/>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合计</w:t>
            </w:r>
          </w:p>
        </w:tc>
        <w:tc>
          <w:tcPr>
            <w:tcW w:w="1236"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16982.7</w:t>
            </w:r>
          </w:p>
        </w:tc>
        <w:tc>
          <w:tcPr>
            <w:tcW w:w="803"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c>
          <w:tcPr>
            <w:tcW w:w="963"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c>
          <w:tcPr>
            <w:tcW w:w="595"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c>
          <w:tcPr>
            <w:tcW w:w="754"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c>
          <w:tcPr>
            <w:tcW w:w="566" w:type="dxa"/>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Arial" w:hAnsi="Arial" w:eastAsia="宋体"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570" w:type="dxa"/>
            <w:shd w:val="clear"/>
            <w:vAlign w:val="bottom"/>
          </w:tcPr>
          <w:p>
            <w:pPr>
              <w:rPr>
                <w:rFonts w:hint="default" w:ascii="Arial" w:hAnsi="Arial" w:eastAsia="宋体" w:cs="Arial"/>
                <w:i w:val="0"/>
                <w:color w:val="000000"/>
                <w:sz w:val="20"/>
                <w:szCs w:val="20"/>
                <w:u w:val="none"/>
              </w:rPr>
            </w:pPr>
          </w:p>
        </w:tc>
        <w:tc>
          <w:tcPr>
            <w:tcW w:w="1708" w:type="dxa"/>
            <w:shd w:val="clear"/>
            <w:vAlign w:val="bottom"/>
          </w:tcPr>
          <w:p>
            <w:pPr>
              <w:rPr>
                <w:rFonts w:hint="default" w:ascii="Arial" w:hAnsi="Arial" w:eastAsia="宋体" w:cs="Arial"/>
                <w:i w:val="0"/>
                <w:color w:val="000000"/>
                <w:sz w:val="20"/>
                <w:szCs w:val="20"/>
                <w:u w:val="none"/>
              </w:rPr>
            </w:pPr>
          </w:p>
        </w:tc>
        <w:tc>
          <w:tcPr>
            <w:tcW w:w="571" w:type="dxa"/>
            <w:shd w:val="clear"/>
            <w:vAlign w:val="bottom"/>
          </w:tcPr>
          <w:p>
            <w:pPr>
              <w:rPr>
                <w:rFonts w:hint="default" w:ascii="Arial" w:hAnsi="Arial" w:eastAsia="宋体" w:cs="Arial"/>
                <w:i w:val="0"/>
                <w:color w:val="000000"/>
                <w:sz w:val="20"/>
                <w:szCs w:val="20"/>
                <w:u w:val="none"/>
              </w:rPr>
            </w:pPr>
          </w:p>
        </w:tc>
        <w:tc>
          <w:tcPr>
            <w:tcW w:w="570" w:type="dxa"/>
            <w:shd w:val="clear"/>
            <w:vAlign w:val="bottom"/>
          </w:tcPr>
          <w:p>
            <w:pPr>
              <w:rPr>
                <w:rFonts w:hint="default" w:ascii="Arial" w:hAnsi="Arial" w:eastAsia="宋体" w:cs="Arial"/>
                <w:i w:val="0"/>
                <w:color w:val="000000"/>
                <w:sz w:val="20"/>
                <w:szCs w:val="20"/>
                <w:u w:val="none"/>
              </w:rPr>
            </w:pPr>
          </w:p>
        </w:tc>
        <w:tc>
          <w:tcPr>
            <w:tcW w:w="1236" w:type="dxa"/>
            <w:shd w:val="clear"/>
            <w:vAlign w:val="bottom"/>
          </w:tcPr>
          <w:p>
            <w:pPr>
              <w:rPr>
                <w:rFonts w:hint="default" w:ascii="Arial" w:hAnsi="Arial" w:eastAsia="宋体" w:cs="Arial"/>
                <w:i w:val="0"/>
                <w:color w:val="000000"/>
                <w:sz w:val="20"/>
                <w:szCs w:val="20"/>
                <w:u w:val="none"/>
              </w:rPr>
            </w:pPr>
          </w:p>
        </w:tc>
        <w:tc>
          <w:tcPr>
            <w:tcW w:w="803" w:type="dxa"/>
            <w:shd w:val="clear"/>
            <w:vAlign w:val="bottom"/>
          </w:tcPr>
          <w:p>
            <w:pPr>
              <w:rPr>
                <w:rFonts w:hint="default" w:ascii="Arial" w:hAnsi="Arial" w:eastAsia="宋体" w:cs="Arial"/>
                <w:i w:val="0"/>
                <w:color w:val="000000"/>
                <w:sz w:val="20"/>
                <w:szCs w:val="20"/>
                <w:u w:val="none"/>
              </w:rPr>
            </w:pPr>
          </w:p>
        </w:tc>
        <w:tc>
          <w:tcPr>
            <w:tcW w:w="963" w:type="dxa"/>
            <w:shd w:val="clear"/>
            <w:vAlign w:val="bottom"/>
          </w:tcPr>
          <w:p>
            <w:pPr>
              <w:rPr>
                <w:rFonts w:hint="default" w:ascii="Arial" w:hAnsi="Arial" w:eastAsia="宋体" w:cs="Arial"/>
                <w:i w:val="0"/>
                <w:color w:val="000000"/>
                <w:sz w:val="20"/>
                <w:szCs w:val="20"/>
                <w:u w:val="none"/>
              </w:rPr>
            </w:pPr>
          </w:p>
        </w:tc>
        <w:tc>
          <w:tcPr>
            <w:tcW w:w="595" w:type="dxa"/>
            <w:shd w:val="clear"/>
            <w:vAlign w:val="bottom"/>
          </w:tcPr>
          <w:p>
            <w:pPr>
              <w:rPr>
                <w:rFonts w:hint="default" w:ascii="Arial" w:hAnsi="Arial" w:eastAsia="宋体" w:cs="Arial"/>
                <w:i w:val="0"/>
                <w:color w:val="000000"/>
                <w:sz w:val="20"/>
                <w:szCs w:val="20"/>
                <w:u w:val="none"/>
              </w:rPr>
            </w:pPr>
          </w:p>
        </w:tc>
        <w:tc>
          <w:tcPr>
            <w:tcW w:w="754" w:type="dxa"/>
            <w:shd w:val="clear"/>
            <w:vAlign w:val="bottom"/>
          </w:tcPr>
          <w:p>
            <w:pPr>
              <w:rPr>
                <w:rFonts w:hint="default" w:ascii="Arial" w:hAnsi="Arial" w:eastAsia="宋体" w:cs="Arial"/>
                <w:i w:val="0"/>
                <w:color w:val="000000"/>
                <w:sz w:val="20"/>
                <w:szCs w:val="20"/>
                <w:u w:val="none"/>
              </w:rPr>
            </w:pPr>
          </w:p>
        </w:tc>
        <w:tc>
          <w:tcPr>
            <w:tcW w:w="566" w:type="dxa"/>
            <w:shd w:val="clear"/>
            <w:vAlign w:val="bottom"/>
          </w:tcPr>
          <w:p>
            <w:pP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20" w:hRule="atLeast"/>
        </w:trPr>
        <w:tc>
          <w:tcPr>
            <w:tcW w:w="8336" w:type="dxa"/>
            <w:gridSpan w:val="10"/>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w:t>
            </w:r>
            <w:r>
              <w:rPr>
                <w:rStyle w:val="10"/>
                <w:rFonts w:eastAsia="宋体"/>
                <w:lang w:val="en-US" w:eastAsia="zh-CN" w:bidi="ar"/>
              </w:rPr>
              <w:t>1</w:t>
            </w:r>
            <w:r>
              <w:rPr>
                <w:rStyle w:val="12"/>
                <w:lang w:val="en-US" w:eastAsia="zh-CN" w:bidi="ar"/>
              </w:rPr>
              <w:t>、此格式为固定格式，不得更改其内容。</w:t>
            </w:r>
            <w:r>
              <w:rPr>
                <w:rStyle w:val="10"/>
                <w:rFonts w:eastAsia="宋体"/>
                <w:lang w:val="en-US" w:eastAsia="zh-CN" w:bidi="ar"/>
              </w:rPr>
              <w:br w:type="textWrapping"/>
            </w:r>
            <w:r>
              <w:rPr>
                <w:rStyle w:val="10"/>
                <w:rFonts w:eastAsia="宋体"/>
                <w:lang w:val="en-US" w:eastAsia="zh-CN" w:bidi="ar"/>
              </w:rPr>
              <w:t>2</w:t>
            </w:r>
            <w:r>
              <w:rPr>
                <w:rStyle w:val="12"/>
                <w:lang w:val="en-US" w:eastAsia="zh-CN" w:bidi="ar"/>
              </w:rPr>
              <w:t>、项目名称按包名填写；</w:t>
            </w:r>
            <w:r>
              <w:rPr>
                <w:rStyle w:val="10"/>
                <w:rFonts w:eastAsia="宋体"/>
                <w:lang w:val="en-US" w:eastAsia="zh-CN" w:bidi="ar"/>
              </w:rPr>
              <w:br w:type="textWrapping"/>
            </w:r>
            <w:r>
              <w:rPr>
                <w:rStyle w:val="10"/>
                <w:rFonts w:eastAsia="宋体"/>
                <w:lang w:val="en-US" w:eastAsia="zh-CN" w:bidi="ar"/>
              </w:rPr>
              <w:t>3</w:t>
            </w:r>
            <w:r>
              <w:rPr>
                <w:rStyle w:val="12"/>
                <w:lang w:val="en-US" w:eastAsia="zh-CN" w:bidi="ar"/>
              </w:rPr>
              <w:t>、清单价格统一按</w:t>
            </w:r>
            <w:r>
              <w:rPr>
                <w:rStyle w:val="10"/>
                <w:rFonts w:eastAsia="宋体"/>
                <w:lang w:val="en-US" w:eastAsia="zh-CN" w:bidi="ar"/>
              </w:rPr>
              <w:t>“</w:t>
            </w:r>
            <w:r>
              <w:rPr>
                <w:rStyle w:val="12"/>
                <w:lang w:val="en-US" w:eastAsia="zh-CN" w:bidi="ar"/>
              </w:rPr>
              <w:t>万元</w:t>
            </w:r>
            <w:r>
              <w:rPr>
                <w:rStyle w:val="10"/>
                <w:rFonts w:eastAsia="宋体"/>
                <w:lang w:val="en-US" w:eastAsia="zh-CN" w:bidi="ar"/>
              </w:rPr>
              <w:t>”</w:t>
            </w:r>
            <w:r>
              <w:rPr>
                <w:rStyle w:val="12"/>
                <w:lang w:val="en-US" w:eastAsia="zh-CN" w:bidi="ar"/>
              </w:rPr>
              <w:t>为单位；</w:t>
            </w:r>
            <w:r>
              <w:rPr>
                <w:rStyle w:val="10"/>
                <w:rFonts w:eastAsia="宋体"/>
                <w:lang w:val="en-US" w:eastAsia="zh-CN" w:bidi="ar"/>
              </w:rPr>
              <w:br w:type="textWrapping"/>
            </w:r>
            <w:r>
              <w:rPr>
                <w:rStyle w:val="10"/>
                <w:rFonts w:eastAsia="宋体"/>
                <w:lang w:val="en-US" w:eastAsia="zh-CN" w:bidi="ar"/>
              </w:rPr>
              <w:t>4</w:t>
            </w:r>
            <w:r>
              <w:rPr>
                <w:rStyle w:val="12"/>
                <w:lang w:val="en-US" w:eastAsia="zh-CN" w:bidi="ar"/>
              </w:rPr>
              <w:t>、投标单位</w:t>
            </w:r>
            <w:r>
              <w:rPr>
                <w:rStyle w:val="10"/>
                <w:rFonts w:eastAsia="宋体"/>
                <w:lang w:val="en-US" w:eastAsia="zh-CN" w:bidi="ar"/>
              </w:rPr>
              <w:t>“</w:t>
            </w:r>
            <w:r>
              <w:rPr>
                <w:rStyle w:val="12"/>
                <w:lang w:val="en-US" w:eastAsia="zh-CN" w:bidi="ar"/>
              </w:rPr>
              <w:t>G</w:t>
            </w:r>
            <w:r>
              <w:rPr>
                <w:rStyle w:val="10"/>
                <w:rFonts w:eastAsia="宋体"/>
                <w:lang w:val="en-US" w:eastAsia="zh-CN" w:bidi="ar"/>
              </w:rPr>
              <w:t>”</w:t>
            </w:r>
            <w:r>
              <w:rPr>
                <w:rStyle w:val="12"/>
                <w:lang w:val="en-US" w:eastAsia="zh-CN" w:bidi="ar"/>
              </w:rPr>
              <w:t>列，报价（万元）（含税）金额不得高于</w:t>
            </w:r>
            <w:r>
              <w:rPr>
                <w:rStyle w:val="10"/>
                <w:rFonts w:eastAsia="宋体"/>
                <w:lang w:val="en-US" w:eastAsia="zh-CN" w:bidi="ar"/>
              </w:rPr>
              <w:t>“</w:t>
            </w:r>
            <w:r>
              <w:rPr>
                <w:rStyle w:val="12"/>
                <w:lang w:val="en-US" w:eastAsia="zh-CN" w:bidi="ar"/>
              </w:rPr>
              <w:t>E</w:t>
            </w:r>
            <w:r>
              <w:rPr>
                <w:rStyle w:val="10"/>
                <w:rFonts w:eastAsia="宋体"/>
                <w:lang w:val="en-US" w:eastAsia="zh-CN" w:bidi="ar"/>
              </w:rPr>
              <w:t>”</w:t>
            </w:r>
            <w:r>
              <w:rPr>
                <w:rStyle w:val="12"/>
                <w:lang w:val="en-US" w:eastAsia="zh-CN" w:bidi="ar"/>
              </w:rPr>
              <w:t>列最高限价（万元）（含税）；</w:t>
            </w:r>
            <w:r>
              <w:rPr>
                <w:rStyle w:val="10"/>
                <w:rFonts w:eastAsia="宋体"/>
                <w:lang w:val="en-US" w:eastAsia="zh-CN" w:bidi="ar"/>
              </w:rPr>
              <w:br w:type="textWrapping"/>
            </w:r>
            <w:r>
              <w:rPr>
                <w:rStyle w:val="10"/>
                <w:rFonts w:eastAsia="宋体"/>
                <w:lang w:val="en-US" w:eastAsia="zh-CN" w:bidi="ar"/>
              </w:rPr>
              <w:t>5</w:t>
            </w:r>
            <w:r>
              <w:rPr>
                <w:rStyle w:val="12"/>
                <w:lang w:val="en-US" w:eastAsia="zh-CN" w:bidi="ar"/>
              </w:rPr>
              <w:t>、价格评分按</w:t>
            </w:r>
            <w:r>
              <w:rPr>
                <w:rStyle w:val="10"/>
                <w:rFonts w:eastAsia="宋体"/>
                <w:lang w:val="en-US" w:eastAsia="zh-CN" w:bidi="ar"/>
              </w:rPr>
              <w:t>“</w:t>
            </w:r>
            <w:r>
              <w:rPr>
                <w:rStyle w:val="12"/>
                <w:lang w:val="en-US" w:eastAsia="zh-CN" w:bidi="ar"/>
              </w:rPr>
              <w:t>G</w:t>
            </w:r>
            <w:r>
              <w:rPr>
                <w:rStyle w:val="10"/>
                <w:rFonts w:eastAsia="宋体"/>
                <w:lang w:val="en-US" w:eastAsia="zh-CN" w:bidi="ar"/>
              </w:rPr>
              <w:t>”</w:t>
            </w:r>
            <w:r>
              <w:rPr>
                <w:rStyle w:val="12"/>
                <w:lang w:val="en-US" w:eastAsia="zh-CN" w:bidi="ar"/>
              </w:rPr>
              <w:t xml:space="preserve">列，报价（万元）（含税）金额进行评分。 </w:t>
            </w:r>
            <w:r>
              <w:rPr>
                <w:rStyle w:val="12"/>
                <w:lang w:val="en-US" w:eastAsia="zh-CN" w:bidi="ar"/>
              </w:rPr>
              <w:br w:type="textWrapping"/>
            </w:r>
            <w:r>
              <w:rPr>
                <w:rStyle w:val="12"/>
                <w:lang w:val="en-US" w:eastAsia="zh-CN" w:bidi="ar"/>
              </w:rPr>
              <w:t xml:space="preserve">6、投标人投标报价含包括但不限于原材料购买、生产加工、检测试验、包装、成品保护、仓储、运输及损耗、保险、装车费用、送检、验货、培训及技术指导、支持服务、知识产权、保修、规费、管理费、利润、税金等，以及移交货物前所发生的一切费用。加工费若发生按加工费报价清单计入。同一项目供应商负责一次当地政府质监要求的现场抽样检测费用，费用计入综合报价中。投标人所报的投标总价不作调整，作为合同履约和结算依据。投标方须充分考虑实际服务内容和需求，针对自身实际情况，核算所需的成本及合理的利润，自行报价，并由投标方开具正式增值税发票。若税率经国家政策调整，则按新政策执行。                                       </w:t>
            </w:r>
          </w:p>
        </w:tc>
      </w:tr>
    </w:tbl>
    <w:p>
      <w:pPr>
        <w:pStyle w:val="2"/>
      </w:pPr>
      <w:r>
        <w:br w:type="page"/>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2"/>
        <w:gridCol w:w="893"/>
        <w:gridCol w:w="448"/>
        <w:gridCol w:w="2672"/>
        <w:gridCol w:w="276"/>
        <w:gridCol w:w="853"/>
        <w:gridCol w:w="615"/>
        <w:gridCol w:w="631"/>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10" w:name="_GoBack"/>
            <w:r>
              <w:rPr>
                <w:rFonts w:hint="eastAsia" w:ascii="宋体" w:hAnsi="宋体" w:eastAsia="宋体" w:cs="宋体"/>
                <w:b/>
                <w:i w:val="0"/>
                <w:color w:val="000000"/>
                <w:kern w:val="0"/>
                <w:sz w:val="32"/>
                <w:szCs w:val="32"/>
                <w:u w:val="none"/>
                <w:lang w:val="en-US" w:eastAsia="zh-CN" w:bidi="ar"/>
              </w:rPr>
              <w:t>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 号</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主设备品牌</w:t>
            </w: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 号 及 规 范</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含税单价（万元）</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含税总价（万元）</w:t>
            </w: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户外液冷储能一体柜</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每个储能电池柜含如下设备</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户外液冷及附件</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采用磷酸铁锂电池，包含电芯、电池PACK、电池架、BMS系统</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簇</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106080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PCS单元</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功率不小于186kW</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液冷系统</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消防系统</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气溶胶，火灾报警子系统，其他消防设施</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照明、监控等其他辅助设施</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变流升压舱</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每台变流升压 舱 含：</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升压变压器</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不小于3450kVA，SCB13型</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辅助变压器</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配电柜</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含低压总断路器和分支断路器</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20kV高压开关设备</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照明、监控等其他辅助设施</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满足附件1《储能单元设备技术规范书》等规范要求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其他一次设备</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20kV高压开关柜</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1250A，31.5kA</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20kV </w:t>
            </w:r>
            <w:r>
              <w:rPr>
                <w:rStyle w:val="13"/>
                <w:lang w:val="en-US" w:eastAsia="zh-CN" w:bidi="ar"/>
              </w:rPr>
              <w:t>站用变</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r>
              <w:rPr>
                <w:rStyle w:val="13"/>
                <w:lang w:val="en-US" w:eastAsia="zh-CN" w:bidi="ar"/>
              </w:rPr>
              <w:t>×2.5%/0.4kV  250kVA</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满足附件3《储能电站20kV干式变压器技术规范书》要求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4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400V低压配电屏</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GCS型，400V，50kA,低压抽出式，每面含1台630A框架断路器，3台125A塑壳断路器，配交流检测系统及备自投</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4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400V低压配电屏</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GCS型，400V，50kA,低压抽出式，每面含1台630A框架断路器，4台125A塑壳断路器，配交流检测系统及备自投</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4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400V低压配电屏</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GCS型，400V，50kA,低压抽出式，每面含2台250A塑壳断路器，2台160A塑壳断路器，5台125A塑壳断路器</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避雷塔针</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避雷塔针</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接地材料</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接地材料</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满足附件2《储能电站20kV高压开关柜技术规范书》要求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二次设备</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储能监控系统扩建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接入一期储能监控系统，满足附件8《储能电站监控、保护、自动化、交直流一体化电源技术规范书》等规范要求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运方有功功率控制（AGC）扩建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接入一期A</w:t>
            </w:r>
            <w:r>
              <w:rPr>
                <w:rStyle w:val="13"/>
                <w:lang w:val="en-US" w:eastAsia="zh-CN" w:bidi="ar"/>
              </w:rPr>
              <w:t>GC,满足附件6《储能电站AGC系统技术规范书》要求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无功电压调节（AVC）扩建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接入一期A</w:t>
            </w:r>
            <w:r>
              <w:rPr>
                <w:rStyle w:val="13"/>
                <w:lang w:val="en-US" w:eastAsia="zh-CN" w:bidi="ar"/>
              </w:rPr>
              <w:t>VC,满足附件7《储能电站AVC系统技术规范书》要求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通信系统扩建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接入一期通信系统，满足附件9《储能电站通信设备技术规范书》要求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环境监测及视频子系统扩建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接入一期环境监测及视频子系统，满足附件8《储能电站监控、保护、自动化、交直流一体化电源技术规范书》及其他相关附件技术规范书要求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火灾报警子系统扩建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接入一期火灾报警系统，满足附件8《储能电站监控、保护、自动化、交直流一体化电源技术规范书》及其他相关附件技术规范书要求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储能协控系统扩建</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接入一期储能协控系统，满足附件5-储能电站协调控制系统技术规范书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9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其他设备及辅材</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8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配电综合楼预制舱</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尺寸约35400*9800*7200mm(长*宽*高），含舱体、照明、接地、空调、通风、消防及内部设备连线，2层结构</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一次电力电缆及辅件等</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ZC-YJV22-0.6/1kV-3×95</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液冷柜至箱变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一次电力电缆及辅件等</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ZRC-YJV-12/20-3x120</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箱变至馈线柜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一次电力电缆及辅件等</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ZC-YJV22-0.6/1kV-4x25</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站区辅助电源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20kV冷缩式户外电缆终端</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配合3×120电缆</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1kV电缆铜端子</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95、25、16等多种型号</w:t>
            </w: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二次电力电缆及辅件等</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网线、光缆等通讯电缆</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接地网等设备</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按需</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8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注：1、投标人须在报价明细表中注明所投产品的品牌型号。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2、投标人投标报价含包括但不限于原材料购买、生产加工、检测试验、包装、成品保护、仓储、运输及损耗、保险、装车费用、送检、验货、培训及技术指导、支持服务、知识产权、保修、规费、管理费、利润、税金等，以及移交货物前所发生的一切费用。加工费若发生按加工费报价清单计入。同一项目供应商负责一次当地政府质监要求的现场抽样检测费用，费用计入综合报价中。投标人所报的投标总价不作调整，作为合同履约和结算依据。投标方须充分考虑实际服务内容和需求，针对自身实际情况，核算所需的成本及合理的利润，自行报价，并由投标方开具正式增值税发票。若税率经国家政策调整，则按新政策执行。</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3、投标人可根据投标方案补充本表。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4、二次设备报价需包含接入一期系统的费用。</w:t>
            </w:r>
          </w:p>
        </w:tc>
      </w:tr>
      <w:bookmarkEnd w:id="1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8bO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2429"/>
    <w:rsid w:val="122C2429"/>
    <w:rsid w:val="1A9C46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uiPriority w:val="0"/>
    <w:pPr>
      <w:ind w:firstLine="420" w:firstLineChars="100"/>
    </w:pPr>
  </w:style>
  <w:style w:type="paragraph" w:styleId="4">
    <w:name w:val="Body Text"/>
    <w:basedOn w:val="1"/>
    <w:next w:val="3"/>
    <w:uiPriority w:val="0"/>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character" w:styleId="7">
    <w:name w:val="annotation reference"/>
    <w:qFormat/>
    <w:uiPriority w:val="0"/>
    <w:rPr>
      <w:sz w:val="21"/>
      <w:szCs w:val="21"/>
    </w:rPr>
  </w:style>
  <w:style w:type="paragraph" w:customStyle="1" w:styleId="9">
    <w:name w:val="列出段落1"/>
    <w:basedOn w:val="1"/>
    <w:unhideWhenUsed/>
    <w:qFormat/>
    <w:uiPriority w:val="99"/>
    <w:pPr>
      <w:ind w:firstLine="420" w:firstLineChars="200"/>
    </w:pPr>
  </w:style>
  <w:style w:type="character" w:customStyle="1" w:styleId="10">
    <w:name w:val="font41"/>
    <w:basedOn w:val="6"/>
    <w:uiPriority w:val="0"/>
    <w:rPr>
      <w:rFonts w:ascii="Arial" w:hAnsi="Arial" w:cs="Arial"/>
      <w:b/>
      <w:color w:val="000000"/>
      <w:sz w:val="24"/>
      <w:szCs w:val="24"/>
      <w:u w:val="none"/>
    </w:rPr>
  </w:style>
  <w:style w:type="character" w:customStyle="1" w:styleId="11">
    <w:name w:val="font71"/>
    <w:basedOn w:val="6"/>
    <w:uiPriority w:val="0"/>
    <w:rPr>
      <w:rFonts w:hint="default" w:ascii="Arial" w:hAnsi="Arial" w:cs="Arial"/>
      <w:b/>
      <w:color w:val="FF0000"/>
      <w:sz w:val="24"/>
      <w:szCs w:val="24"/>
      <w:u w:val="none"/>
    </w:rPr>
  </w:style>
  <w:style w:type="character" w:customStyle="1" w:styleId="12">
    <w:name w:val="font61"/>
    <w:basedOn w:val="6"/>
    <w:uiPriority w:val="0"/>
    <w:rPr>
      <w:rFonts w:hint="eastAsia" w:ascii="宋体" w:hAnsi="宋体" w:eastAsia="宋体" w:cs="宋体"/>
      <w:b/>
      <w:color w:val="000000"/>
      <w:sz w:val="24"/>
      <w:szCs w:val="24"/>
      <w:u w:val="none"/>
    </w:rPr>
  </w:style>
  <w:style w:type="character" w:customStyle="1" w:styleId="13">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2023-07-07T07:39:00Z</dcterms:created>
  <dc:creator>Administrator</dc:creator>
  <cp:lastModifiedBy>Administrator</cp:lastModifiedBy>
  <dcterms:modified xsi:type="dcterms:W3CDTF">2023-07-07T07:43:36Z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